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  <w:t>附录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B</w:t>
      </w:r>
    </w:p>
    <w:p>
      <w:pPr>
        <w:pStyle w:val="7"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医务人员分级防护要求</w:t>
      </w:r>
    </w:p>
    <w:bookmarkEnd w:id="0"/>
    <w:p>
      <w:pPr>
        <w:pStyle w:val="7"/>
        <w:spacing w:beforeLines="0" w:afterLines="0" w:line="44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级别防护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一级防护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适用于预检分诊、发热门（急）诊、感染性疾病科的医务人员。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防护要求：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穿戴一次性工作帽、一次性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医用</w:t>
      </w:r>
      <w:r>
        <w:rPr>
          <w:rFonts w:hint="eastAsia" w:ascii="仿宋_GB2312" w:hAnsi="仿宋_GB2312" w:eastAsia="仿宋_GB2312" w:cs="仿宋_GB2312"/>
          <w:sz w:val="32"/>
          <w:szCs w:val="32"/>
        </w:rPr>
        <w:t>外科口罩和工作服(白大褂)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、一次性隔离衣，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必要时戴一次性乳胶手套。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戴口罩前和摘口罩后须进行手卫生。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下班时进行个人卫生处置，并注意呼吸道与黏膜的防护。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（二）二级防护。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适用于：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医务人员在感染性疾病科门诊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病人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留观室和感染性疾病科收治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病人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的隔离病房从事诊疗活动时；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接触从病人身上采集的标本、处理其分泌物、排泄物、用后物品和死亡病人尸体的工作人员；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转运病人的医务人员和司机。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防护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进入隔离留观室及隔离病区的医务人员必须穿戴一次性工作帽、护目镜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（屏）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、医用防护口罩(N95)、防护服或工作服(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大褂)外套一次性防护服和一次性乳胶手套,穿一次性鞋套。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严格按照清洁区、半污染区和污染区的划分，正确穿戴和防卸防护用品，并注意呼吸道、鼻腔黏膜及眼睛的卫生与保护。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lang w:eastAsia="zh-CN"/>
        </w:rPr>
        <w:t>（三）三级防护。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适用于为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病人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实施吸痰、呼吸道采样、气管插管和气管切开等有可能发生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病人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呼吸道分泌物、体内物质的喷射或飞溅的工作时的医务人员。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防护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应穿戴一次性工作帽、全面型呼吸防护器或正压式头套、医用防护口罩 (N95)、防护服或工作服(白大褂)</w:t>
      </w:r>
      <w:r>
        <w:rPr>
          <w:rFonts w:hint="eastAsia" w:eastAsia="仿宋_GB2312" w:cs="Times New Roman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套一次性防护服、一次性乳胶手套和/或一次性鞋套。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达到二级防护的所有要求。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不同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岗位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人员的防护要求</w:t>
      </w:r>
    </w:p>
    <w:tbl>
      <w:tblPr>
        <w:tblStyle w:val="6"/>
        <w:tblW w:w="9998" w:type="dxa"/>
        <w:jc w:val="center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195"/>
        <w:gridCol w:w="2355"/>
        <w:gridCol w:w="4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人员</w:t>
            </w:r>
          </w:p>
        </w:tc>
        <w:tc>
          <w:tcPr>
            <w:tcW w:w="2195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  <w:t>常规诊疗工作</w:t>
            </w:r>
          </w:p>
        </w:tc>
        <w:tc>
          <w:tcPr>
            <w:tcW w:w="649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  <w:t>接触或护送新型冠状病毒感染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  <w:lang w:eastAsia="zh-CN"/>
              </w:rPr>
              <w:t>疑似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  <w:t>病例时、执行环境清洁消毒时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  <w:t>无体液、血液、分泌物、排泄物等暴露风险</w:t>
            </w:r>
          </w:p>
        </w:tc>
        <w:tc>
          <w:tcPr>
            <w:tcW w:w="413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</w:rPr>
              <w:t>可能有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</w:rPr>
              <w:t>体液、血液、分泌物、排泄物等暴露风险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门、急诊工作人员</w:t>
            </w:r>
          </w:p>
        </w:tc>
        <w:tc>
          <w:tcPr>
            <w:tcW w:w="2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戴一次性工作帽、</w:t>
            </w:r>
            <w:r>
              <w:rPr>
                <w:rFonts w:hint="eastAsia" w:ascii="宋体" w:hAnsi="宋体"/>
                <w:sz w:val="22"/>
                <w:lang w:eastAsia="zh-CN"/>
              </w:rPr>
              <w:t>医用</w:t>
            </w:r>
            <w:r>
              <w:rPr>
                <w:rFonts w:hint="eastAsia" w:ascii="宋体" w:hAnsi="宋体" w:eastAsia="宋体"/>
                <w:sz w:val="22"/>
              </w:rPr>
              <w:t>外科口罩和工作服(白大褂)</w:t>
            </w:r>
          </w:p>
        </w:tc>
        <w:tc>
          <w:tcPr>
            <w:tcW w:w="23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戴医用防护口罩、戴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工作帽、穿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隔离衣、戴手套、穿鞋套</w:t>
            </w:r>
          </w:p>
        </w:tc>
        <w:tc>
          <w:tcPr>
            <w:tcW w:w="41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戴医用防护口罩、戴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工作帽、戴护目镜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或防护面屏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防水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隔离衣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/防渗透防护服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长筒靴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套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eastAsia="zh-CN"/>
              </w:rPr>
              <w:t>、戴手套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313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发热门诊工作人员</w:t>
            </w:r>
          </w:p>
        </w:tc>
        <w:tc>
          <w:tcPr>
            <w:tcW w:w="21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戴</w:t>
            </w:r>
            <w:r>
              <w:rPr>
                <w:rFonts w:hint="eastAsia" w:ascii="宋体" w:hAnsi="宋体"/>
                <w:color w:val="000000"/>
                <w:sz w:val="22"/>
                <w:szCs w:val="28"/>
                <w:lang w:eastAsia="zh-CN"/>
              </w:rPr>
              <w:t>医用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外科口罩、戴一次性工作帽、穿</w:t>
            </w:r>
            <w:r>
              <w:rPr>
                <w:rFonts w:hint="eastAsia" w:eastAsia="宋体"/>
                <w:color w:val="000000"/>
                <w:sz w:val="22"/>
                <w:szCs w:val="28"/>
                <w:lang w:eastAsia="zh-CN"/>
              </w:rPr>
              <w:t>一次性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隔离衣、戴手套、穿鞋套</w:t>
            </w:r>
          </w:p>
        </w:tc>
        <w:tc>
          <w:tcPr>
            <w:tcW w:w="23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戴医用防护口罩、戴</w:t>
            </w:r>
            <w:r>
              <w:rPr>
                <w:rFonts w:hint="eastAsia" w:ascii="宋体" w:hAnsi="宋体" w:cs="宋体"/>
                <w:color w:val="000000"/>
                <w:sz w:val="22"/>
                <w:szCs w:val="28"/>
                <w:lang w:eastAsia="zh-CN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工作帽、穿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隔离衣、戴手套、穿鞋套</w:t>
            </w:r>
          </w:p>
        </w:tc>
        <w:tc>
          <w:tcPr>
            <w:tcW w:w="41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戴医用防护口罩、戴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工作帽、戴护目镜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或防护面屏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防水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隔离衣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/防渗透防护服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、戴手套、穿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长筒靴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8"/>
              </w:rPr>
              <w:t>进入隔离病房工作人员</w:t>
            </w:r>
          </w:p>
        </w:tc>
        <w:tc>
          <w:tcPr>
            <w:tcW w:w="4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0" w:right="0" w:rightChars="0" w:hanging="330" w:hangingChars="150"/>
              <w:jc w:val="left"/>
              <w:textAlignment w:val="auto"/>
              <w:outlineLvl w:val="9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戴一次性工作帽、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戴护目镜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或防护面屏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  <w:t>、医用防护口罩(N95)、防护服或工作服(白大褂)外套一次性防护服和一次性乳胶手套（双层）,穿一次性鞋套。</w:t>
            </w:r>
          </w:p>
        </w:tc>
        <w:tc>
          <w:tcPr>
            <w:tcW w:w="41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执行气管插管、支气管镜检查、心肺复苏、吸痰等有气溶胶产生操作时：医用防护口罩+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戴护目镜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val="en-US" w:eastAsia="zh-CN"/>
              </w:rPr>
              <w:t>或防护面屏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或使用动力送风过滤式呼吸器、穿防渗透防护服、戴一次性帽子、戴双层手套、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长筒靴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检验人员在给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病人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采样时一般可选择戴双层手套;消毒人员在进行消毒时应使用橡胶手套,必要时穿长筒胶鞋。戴手套前应检查手套是否有破损。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戴口罩时应注意检查其佩戴时的严密性。N95口罩使用6～8小时应更换。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佩戴全面型呼吸防护器或正压式头套时可无需戴戴护目镜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或防护面屏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和医用防护口罩(N95)。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严格遵守标准预防的原则。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严格遵守消毒、隔离的各项规章制度。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严格执行洗手与手消毒制度。</w:t>
      </w:r>
    </w:p>
    <w:p>
      <w:pPr>
        <w:pStyle w:val="2"/>
        <w:adjustRightInd w:val="0"/>
        <w:snapToGrid w:val="0"/>
        <w:spacing w:after="0" w:line="360" w:lineRule="auto"/>
        <w:rPr>
          <w:rFonts w:hint="default" w:ascii="Times New Roman" w:hAnsi="Times New Roman" w:eastAsia="宋体" w:cs="Times New Roman"/>
          <w:sz w:val="24"/>
        </w:rPr>
      </w:pPr>
    </w:p>
    <w:p>
      <w:pPr>
        <w:pStyle w:val="7"/>
        <w:spacing w:line="500" w:lineRule="exact"/>
        <w:ind w:firstLine="560"/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</w:p>
    <w:p/>
    <w:p>
      <w:pPr>
        <w:pStyle w:val="7"/>
        <w:spacing w:line="500" w:lineRule="exact"/>
        <w:ind w:firstLine="560"/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276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D44EB"/>
    <w:multiLevelType w:val="singleLevel"/>
    <w:tmpl w:val="C12D4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240FAF"/>
    <w:multiLevelType w:val="singleLevel"/>
    <w:tmpl w:val="5E240FA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36FF"/>
    <w:rsid w:val="507F36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2020-01-26T09:28:00Z</dcterms:created>
  <dc:creator>从前慢</dc:creator>
  <cp:lastModifiedBy>从前慢</cp:lastModifiedBy>
  <dcterms:modified xsi:type="dcterms:W3CDTF">2020-01-26T09:29:04Z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