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尘肺病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防治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eastAsia="zh-CN"/>
        </w:rPr>
        <w:t>攻坚行动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主要政策措施清单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</w:pPr>
    </w:p>
    <w:tbl>
      <w:tblPr>
        <w:tblStyle w:val="2"/>
        <w:tblW w:w="9809" w:type="dxa"/>
        <w:jc w:val="center"/>
        <w:tblInd w:w="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466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落实单位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1.粉尘危害等重点职业病调查方案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省卫生健康委负责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2019年12月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2.健康企业建设标准和实施方案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省卫生健康委、人力资源社会保障厅、总工会负责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2019年12月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3.关于进一步加强我省接触职业病危害职工工伤保险有关工作的通知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省人力资源社会保障厅负责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职业健康分类分级监管工作指引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省卫生健康委负责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eastAsia="zh-CN"/>
              </w:rPr>
              <w:t>广东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省职业卫生技术服务机构违规不良行为记分管理制度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省卫生健康委、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司法厅按职责负责。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2019年12月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6.广东省职业病防治机构规范化建设指导意见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省卫生健康委负责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2019年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重点职业病监测和职业健康风险评估等技术规范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省卫生健康委负责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eastAsia="zh-CN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</w:rPr>
              <w:t>一批重点行业领域职业病危害治理技术规范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省卫生健康委牵头负责，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省市场监管局按职责负责。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u w:val="none"/>
                <w:lang w:val="en-US" w:eastAsia="zh-CN"/>
              </w:rPr>
              <w:t>9.职业病预防控制措施不达标责任主体名单定期通报制度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省卫生健康委、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广东银保监局</w:t>
            </w:r>
            <w:r>
              <w:rPr>
                <w:rFonts w:hint="default" w:ascii="Times New Roman" w:hAnsi="Times New Roman" w:cs="Times New Roman"/>
                <w:snapToGrid/>
                <w:color w:val="auto"/>
                <w:sz w:val="24"/>
                <w:szCs w:val="28"/>
                <w:u w:val="none"/>
                <w:lang w:val="en-US" w:eastAsia="zh-CN"/>
              </w:rPr>
              <w:t>负责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2019年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u w:val="none"/>
                <w:vertAlign w:val="baseline"/>
                <w:lang w:val="en-US" w:eastAsia="zh-CN"/>
              </w:rPr>
              <w:t>月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58F1"/>
    <w:rsid w:val="223B789B"/>
    <w:rsid w:val="66C21D39"/>
    <w:rsid w:val="75A6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2019-10-21T09:54:00Z</dcterms:created>
  <dc:creator>华</dc:creator>
  <cp:lastModifiedBy>华</cp:lastModifiedBy>
  <dcterms:modified xsi:type="dcterms:W3CDTF">2019-10-21T09:54:37Z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