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0" w:firstLineChars="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附件2</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680" w:lineRule="exact"/>
        <w:ind w:firstLine="0" w:firstLineChars="0"/>
        <w:jc w:val="center"/>
        <w:textAlignment w:val="auto"/>
        <w:outlineLvl w:val="0"/>
        <w:rPr>
          <w:rFonts w:hint="default" w:ascii="Times New Roman" w:hAnsi="Times New Roman" w:eastAsia="方正小标宋简体" w:cs="Times New Roman"/>
          <w:b w:val="0"/>
          <w:sz w:val="44"/>
          <w:szCs w:val="44"/>
        </w:rPr>
      </w:pPr>
      <w:bookmarkStart w:id="2" w:name="_GoBack"/>
      <w:r>
        <w:rPr>
          <w:rFonts w:hint="default" w:ascii="Times New Roman" w:hAnsi="Times New Roman" w:eastAsia="方正小标宋简体" w:cs="Times New Roman"/>
          <w:b w:val="0"/>
          <w:sz w:val="44"/>
          <w:szCs w:val="44"/>
        </w:rPr>
        <w:t>填表说明</w:t>
      </w:r>
    </w:p>
    <w:bookmarkEnd w:id="2"/>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黑体" w:cs="Times New Roman"/>
          <w:b w:val="0"/>
          <w:kern w:val="2"/>
          <w:sz w:val="32"/>
          <w:szCs w:val="32"/>
        </w:rPr>
      </w:pPr>
      <w:bookmarkStart w:id="0" w:name="_Toc7718_WPSOffice_Level1"/>
      <w:r>
        <w:rPr>
          <w:rFonts w:hint="default" w:ascii="Times New Roman" w:hAnsi="Times New Roman" w:eastAsia="黑体" w:cs="Times New Roman"/>
          <w:b w:val="0"/>
          <w:kern w:val="2"/>
          <w:sz w:val="32"/>
          <w:szCs w:val="32"/>
          <w:lang w:eastAsia="zh-CN"/>
        </w:rPr>
        <w:t>一、</w:t>
      </w:r>
      <w:r>
        <w:rPr>
          <w:rFonts w:hint="default" w:ascii="Times New Roman" w:hAnsi="Times New Roman" w:eastAsia="黑体" w:cs="Times New Roman"/>
          <w:b w:val="0"/>
          <w:kern w:val="2"/>
          <w:sz w:val="32"/>
          <w:szCs w:val="32"/>
        </w:rPr>
        <w:t>部分指标解释</w:t>
      </w:r>
      <w:bookmarkEnd w:id="0"/>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lang w:val="en-US" w:eastAsia="zh-CN"/>
        </w:rPr>
        <w:t>1、</w:t>
      </w:r>
      <w:r>
        <w:rPr>
          <w:rFonts w:hint="default" w:ascii="Times New Roman" w:hAnsi="Times New Roman" w:eastAsia="仿宋_GB2312" w:cs="Times New Roman"/>
          <w:b/>
          <w:sz w:val="32"/>
          <w:szCs w:val="32"/>
        </w:rPr>
        <w:t xml:space="preserve">专职科研人员 </w:t>
      </w:r>
      <w:r>
        <w:rPr>
          <w:rFonts w:hint="default" w:ascii="Times New Roman" w:hAnsi="Times New Roman" w:eastAsia="仿宋_GB2312" w:cs="Times New Roman"/>
          <w:sz w:val="32"/>
          <w:szCs w:val="32"/>
        </w:rPr>
        <w:t xml:space="preserve"> 具备一定的科学理论知识并专职从事科学研究工作的本医院工作人员，包括医院在编人员和合同人员，以及研究生、进修人员、引进人才等（如珠江人才引进计划或其他国家级、省部级人才计划）。不包括从事科技管理工作的行政人员、外聘的流动研究人员、离退休人员、停薪人员。</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lang w:val="en-US" w:eastAsia="zh-CN"/>
        </w:rPr>
        <w:t>2、</w:t>
      </w:r>
      <w:r>
        <w:rPr>
          <w:rFonts w:hint="default" w:ascii="Times New Roman" w:hAnsi="Times New Roman" w:eastAsia="仿宋_GB2312" w:cs="Times New Roman"/>
          <w:b/>
          <w:sz w:val="32"/>
          <w:szCs w:val="32"/>
        </w:rPr>
        <w:t xml:space="preserve">卫生技术人员总数 </w:t>
      </w:r>
      <w:r>
        <w:rPr>
          <w:rFonts w:hint="default" w:ascii="Times New Roman" w:hAnsi="Times New Roman" w:eastAsia="仿宋_GB2312" w:cs="Times New Roman"/>
          <w:sz w:val="32"/>
          <w:szCs w:val="32"/>
        </w:rPr>
        <w:t xml:space="preserve"> 包括执业医师、执业助理医师、注册护士、药师(士)、检验及影像技师(士)、卫生监督员和其他卫生技术人员，不包括从事管理工作的卫生技术人员(如院长、副院长、党委书记等)。</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lang w:val="en-US" w:eastAsia="zh-CN"/>
        </w:rPr>
        <w:t>3、</w:t>
      </w:r>
      <w:r>
        <w:rPr>
          <w:rFonts w:hint="default" w:ascii="Times New Roman" w:hAnsi="Times New Roman" w:eastAsia="仿宋_GB2312" w:cs="Times New Roman"/>
          <w:b/>
          <w:sz w:val="32"/>
          <w:szCs w:val="32"/>
        </w:rPr>
        <w:t xml:space="preserve">国家级科研项目 </w:t>
      </w:r>
      <w:r>
        <w:rPr>
          <w:rFonts w:hint="default" w:ascii="Times New Roman" w:hAnsi="Times New Roman" w:eastAsia="仿宋_GB2312" w:cs="Times New Roman"/>
          <w:sz w:val="32"/>
          <w:szCs w:val="32"/>
        </w:rPr>
        <w:t xml:space="preserve"> 国家科技部、国家自然科学基金委、国家发改委、国防科工委等下达或批准的列入国家各种科技计划的项目。</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lang w:val="en-US" w:eastAsia="zh-CN"/>
        </w:rPr>
        <w:t>4、</w:t>
      </w:r>
      <w:r>
        <w:rPr>
          <w:rFonts w:hint="default" w:ascii="Times New Roman" w:hAnsi="Times New Roman" w:eastAsia="仿宋_GB2312" w:cs="Times New Roman"/>
          <w:b/>
          <w:sz w:val="32"/>
          <w:szCs w:val="32"/>
        </w:rPr>
        <w:t xml:space="preserve">国家重点研发计划 </w:t>
      </w:r>
      <w:r>
        <w:rPr>
          <w:rFonts w:hint="default" w:ascii="Times New Roman" w:hAnsi="Times New Roman" w:eastAsia="仿宋_GB2312" w:cs="Times New Roman"/>
          <w:sz w:val="32"/>
          <w:szCs w:val="32"/>
        </w:rPr>
        <w:t xml:space="preserve"> 由原来的国家重点基础研究发展计划（973计划）、国家高技术研究发展计划（863计划）、国家科技支撑计划、国际科技合作与交流专项、产业技术研究与开发基金和公益性行业科研专项等整合而成。</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lang w:val="en-US" w:eastAsia="zh-CN"/>
        </w:rPr>
        <w:t>5、</w:t>
      </w:r>
      <w:r>
        <w:rPr>
          <w:rFonts w:hint="default" w:ascii="Times New Roman" w:hAnsi="Times New Roman" w:eastAsia="仿宋_GB2312" w:cs="Times New Roman"/>
          <w:b/>
          <w:sz w:val="32"/>
          <w:szCs w:val="32"/>
        </w:rPr>
        <w:t>国家科技重大专项</w:t>
      </w:r>
      <w:r>
        <w:rPr>
          <w:rFonts w:hint="default" w:ascii="Times New Roman" w:hAnsi="Times New Roman" w:eastAsia="仿宋_GB2312" w:cs="Times New Roman"/>
          <w:sz w:val="32"/>
          <w:szCs w:val="32"/>
        </w:rPr>
        <w:t xml:space="preserve">  为了实现国家目标，通过核心技术突破和资源集成，在一定时限内完成的重大战略产品、关键共性技术和重大工程。《国家中长期科学和技术发展规划纲要（2006-2020）》确定了大型飞机等16个重大专项。这些重大专项是我国到2020年科技发展的重中之重。</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lang w:val="en-US" w:eastAsia="zh-CN"/>
        </w:rPr>
        <w:t>6、</w:t>
      </w:r>
      <w:r>
        <w:rPr>
          <w:rFonts w:hint="default" w:ascii="Times New Roman" w:hAnsi="Times New Roman" w:eastAsia="仿宋_GB2312" w:cs="Times New Roman"/>
          <w:b/>
          <w:sz w:val="32"/>
          <w:szCs w:val="32"/>
        </w:rPr>
        <w:t>国家自然科学基金项目</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"https://baike.baidu.com/item/%E8%87%AA%E7%84%B6%E7%A7%91%E5%AD%A6%E5%9F%BA%E9%87%91/483510" \t "https://baike.baidu.com/item/%E5%9B%BD%E5%AE%B6%E8%87%AA%E7%84%B6%E7%A7%91%E5%AD%A6%E5%9F%BA%E9%87%91/_blank"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自然科学基金</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t>按照资助类别可分为</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"https://baike.baidu.com/item/%E9%9D%A2%E4%B8%8A%E9%A1%B9%E7%9B%AE" \t "https://baike.baidu.com/item/%E5%9B%BD%E5%AE%B6%E8%87%AA%E7%84%B6%E7%A7%91%E5%AD%A6%E5%9F%BA%E9%87%91/_blank"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面上项目</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t>、重点项目、重大项目、重大研究计划、</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"https://baike.baidu.com/item/%E5%9B%BD%E5%AE%B6%E6%9D%B0%E5%87%BA%E9%9D%92%E5%B9%B4%E7%A7%91%E5%AD%A6%E5%9F%BA%E9%87%91" \t "https://baike.baidu.com/item/%E5%9B%BD%E5%AE%B6%E8%87%AA%E7%84%B6%E7%A7%91%E5%AD%A6%E5%9F%BA%E9%87%91/_blank"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国家杰出青年科学基金</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t>、海外、港澳青年学者合作研究基金、创新研究群体科学基金、国家基础科学人才培养基金、专项项目、联合资助基金项目以及国际（地区）合作与交流项目等。</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lang w:val="en-US" w:eastAsia="zh-CN"/>
        </w:rPr>
        <w:t>7、</w:t>
      </w:r>
      <w:r>
        <w:rPr>
          <w:rFonts w:hint="default" w:ascii="Times New Roman" w:hAnsi="Times New Roman" w:eastAsia="仿宋_GB2312" w:cs="Times New Roman"/>
          <w:b/>
          <w:sz w:val="32"/>
          <w:szCs w:val="32"/>
        </w:rPr>
        <w:t>省部级科研项目</w:t>
      </w:r>
      <w:r>
        <w:rPr>
          <w:rFonts w:hint="default" w:ascii="Times New Roman" w:hAnsi="Times New Roman" w:eastAsia="仿宋_GB2312" w:cs="Times New Roman"/>
          <w:sz w:val="32"/>
          <w:szCs w:val="32"/>
        </w:rPr>
        <w:t xml:space="preserve">  指省科技厅、国家行政(除科技部和代表国家下达科研课题的部委外)各部委批准的科技项目，如国家卫健委、教育部、国家中医药管理局等。</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lang w:val="en-US" w:eastAsia="zh-CN"/>
        </w:rPr>
        <w:t>8、</w:t>
      </w:r>
      <w:r>
        <w:rPr>
          <w:rFonts w:hint="default" w:ascii="Times New Roman" w:hAnsi="Times New Roman" w:eastAsia="仿宋_GB2312" w:cs="Times New Roman"/>
          <w:b/>
          <w:sz w:val="32"/>
          <w:szCs w:val="32"/>
        </w:rPr>
        <w:t>市厅级科研项目</w:t>
      </w:r>
      <w:r>
        <w:rPr>
          <w:rFonts w:hint="default" w:ascii="Times New Roman" w:hAnsi="Times New Roman" w:eastAsia="仿宋_GB2312" w:cs="Times New Roman"/>
          <w:sz w:val="32"/>
          <w:szCs w:val="32"/>
        </w:rPr>
        <w:t xml:space="preserve">  指各地(市、州)科技局、省级行政部门除省科技厅外的各厅局批准的科技项目。</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lang w:val="en-US" w:eastAsia="zh-CN"/>
        </w:rPr>
        <w:t>9、</w:t>
      </w:r>
      <w:r>
        <w:rPr>
          <w:rFonts w:hint="default" w:ascii="Times New Roman" w:hAnsi="Times New Roman" w:eastAsia="仿宋_GB2312" w:cs="Times New Roman"/>
          <w:b/>
          <w:sz w:val="32"/>
          <w:szCs w:val="32"/>
        </w:rPr>
        <w:t xml:space="preserve">国家重点实验室 </w:t>
      </w:r>
      <w:r>
        <w:rPr>
          <w:rFonts w:hint="default" w:ascii="Times New Roman" w:hAnsi="Times New Roman" w:eastAsia="仿宋_GB2312" w:cs="Times New Roman"/>
          <w:sz w:val="32"/>
          <w:szCs w:val="32"/>
        </w:rPr>
        <w:t xml:space="preserve"> 是依托一级法人单位建设、具有相对独立的人事权和财务权的科研实体。其作为国家科技创新体系的重要组成部分，是国家组织高水平基础研究和应用基础研究、聚集和培养优秀科学家、开展高层次学术交流的重要基地。</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lang w:val="en-US" w:eastAsia="zh-CN"/>
        </w:rPr>
        <w:t>10、</w:t>
      </w:r>
      <w:r>
        <w:rPr>
          <w:rFonts w:hint="default" w:ascii="Times New Roman" w:hAnsi="Times New Roman" w:eastAsia="仿宋_GB2312" w:cs="Times New Roman"/>
          <w:b/>
          <w:sz w:val="32"/>
          <w:szCs w:val="32"/>
        </w:rPr>
        <w:t>省部共建国家重点实验室</w:t>
      </w:r>
      <w:r>
        <w:rPr>
          <w:rFonts w:hint="default" w:ascii="Times New Roman" w:hAnsi="Times New Roman" w:eastAsia="仿宋_GB2312" w:cs="Times New Roman"/>
          <w:sz w:val="32"/>
          <w:szCs w:val="32"/>
        </w:rPr>
        <w:t xml:space="preserve">  主要在依托地方重点高校、科研机构或高科技企业组建的优秀地方实验室中遴选，要求对外开放运行2年以上。</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lang w:val="en-US" w:eastAsia="zh-CN"/>
        </w:rPr>
        <w:t>11、</w:t>
      </w:r>
      <w:r>
        <w:rPr>
          <w:rFonts w:hint="default" w:ascii="Times New Roman" w:hAnsi="Times New Roman" w:eastAsia="仿宋_GB2312" w:cs="Times New Roman"/>
          <w:b/>
          <w:sz w:val="32"/>
          <w:szCs w:val="32"/>
        </w:rPr>
        <w:t xml:space="preserve">省级重点实验室 </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rPr>
        <w:fldChar w:fldCharType="begin"/>
      </w:r>
      <w:r>
        <w:rPr>
          <w:rFonts w:hint="default" w:ascii="Times New Roman" w:hAnsi="Times New Roman" w:eastAsia="仿宋_GB2312" w:cs="Times New Roman"/>
          <w:sz w:val="32"/>
          <w:szCs w:val="32"/>
        </w:rPr>
        <w:instrText xml:space="preserve"> HYPERLINK "https://baike.baidu.com/item/%E5%B9%BF%E4%B8%9C%E7%9C%81" \t "https://baike.baidu.com/item/%E5%B9%BF%E4%B8%9C%E7%9C%81%E9%87%8D%E7%82%B9%E5%AE%9E%E9%AA%8C%E5%AE%A4/_blank" </w:instrText>
      </w:r>
      <w:r>
        <w:rPr>
          <w:rFonts w:hint="default" w:ascii="Times New Roman" w:hAnsi="Times New Roman" w:eastAsia="仿宋_GB2312" w:cs="Times New Roman"/>
          <w:sz w:val="32"/>
          <w:szCs w:val="32"/>
        </w:rPr>
        <w:fldChar w:fldCharType="separate"/>
      </w:r>
      <w:r>
        <w:rPr>
          <w:rFonts w:hint="default" w:ascii="Times New Roman" w:hAnsi="Times New Roman" w:eastAsia="仿宋_GB2312" w:cs="Times New Roman"/>
          <w:sz w:val="32"/>
          <w:szCs w:val="32"/>
        </w:rPr>
        <w:t>广东省</w:t>
      </w:r>
      <w:r>
        <w:rPr>
          <w:rFonts w:hint="default" w:ascii="Times New Roman" w:hAnsi="Times New Roman" w:eastAsia="仿宋_GB2312" w:cs="Times New Roman"/>
          <w:sz w:val="32"/>
          <w:szCs w:val="32"/>
        </w:rPr>
        <w:fldChar w:fldCharType="end"/>
      </w:r>
      <w:r>
        <w:rPr>
          <w:rFonts w:hint="default" w:ascii="Times New Roman" w:hAnsi="Times New Roman" w:eastAsia="仿宋_GB2312" w:cs="Times New Roman"/>
          <w:sz w:val="32"/>
          <w:szCs w:val="32"/>
        </w:rPr>
        <w:t>重点实验室始于1986年12月，由省科委和省计委共同建设。</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lang w:val="en-US" w:eastAsia="zh-CN"/>
        </w:rPr>
        <w:t>12、</w:t>
      </w:r>
      <w:r>
        <w:rPr>
          <w:rFonts w:hint="default" w:ascii="Times New Roman" w:hAnsi="Times New Roman" w:eastAsia="仿宋_GB2312" w:cs="Times New Roman"/>
          <w:b/>
          <w:sz w:val="32"/>
          <w:szCs w:val="32"/>
        </w:rPr>
        <w:t>国家级重点学(专)科</w:t>
      </w:r>
      <w:r>
        <w:rPr>
          <w:rFonts w:hint="default" w:ascii="Times New Roman" w:hAnsi="Times New Roman" w:eastAsia="仿宋_GB2312" w:cs="Times New Roman"/>
          <w:sz w:val="32"/>
          <w:szCs w:val="32"/>
        </w:rPr>
        <w:t xml:space="preserve">  指经相关部门(如;国家科技部等)批准、成立或挂牌的国家级重点学(专)科。</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lang w:val="en-US" w:eastAsia="zh-CN"/>
        </w:rPr>
        <w:t>13、</w:t>
      </w:r>
      <w:r>
        <w:rPr>
          <w:rFonts w:hint="default" w:ascii="Times New Roman" w:hAnsi="Times New Roman" w:eastAsia="仿宋_GB2312" w:cs="Times New Roman"/>
          <w:b/>
          <w:sz w:val="32"/>
          <w:szCs w:val="32"/>
        </w:rPr>
        <w:t>省部级重点学(专)科</w:t>
      </w:r>
      <w:r>
        <w:rPr>
          <w:rFonts w:hint="default" w:ascii="Times New Roman" w:hAnsi="Times New Roman" w:eastAsia="仿宋_GB2312" w:cs="Times New Roman"/>
          <w:sz w:val="32"/>
          <w:szCs w:val="32"/>
        </w:rPr>
        <w:t xml:space="preserve">  指经相关部门(如:省科技厅、教育部、国家卫生健康委、国家中医药管理局等)批准、成立或挂牌的省部级重点学(专)科。</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lang w:val="en-US" w:eastAsia="zh-CN"/>
        </w:rPr>
        <w:t>14、</w:t>
      </w:r>
      <w:r>
        <w:rPr>
          <w:rFonts w:hint="default" w:ascii="Times New Roman" w:hAnsi="Times New Roman" w:eastAsia="仿宋_GB2312" w:cs="Times New Roman"/>
          <w:b/>
          <w:sz w:val="32"/>
          <w:szCs w:val="32"/>
        </w:rPr>
        <w:t xml:space="preserve">院士工作站 </w:t>
      </w:r>
      <w:r>
        <w:rPr>
          <w:rFonts w:hint="default" w:ascii="Times New Roman" w:hAnsi="Times New Roman" w:eastAsia="仿宋_GB2312" w:cs="Times New Roman"/>
          <w:sz w:val="32"/>
          <w:szCs w:val="32"/>
        </w:rPr>
        <w:t xml:space="preserve"> 院士工作站是指广东省科学技术厅认定，并挂牌成立的院士工作站。</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lang w:val="en-US" w:eastAsia="zh-CN"/>
        </w:rPr>
        <w:t>15、</w:t>
      </w:r>
      <w:r>
        <w:rPr>
          <w:rFonts w:hint="default" w:ascii="Times New Roman" w:hAnsi="Times New Roman" w:eastAsia="仿宋_GB2312" w:cs="Times New Roman"/>
          <w:b/>
          <w:sz w:val="32"/>
          <w:szCs w:val="32"/>
        </w:rPr>
        <w:t>本年度科研项目立项经费</w:t>
      </w:r>
      <w:r>
        <w:rPr>
          <w:rFonts w:hint="default" w:ascii="Times New Roman" w:hAnsi="Times New Roman" w:eastAsia="仿宋_GB2312" w:cs="Times New Roman"/>
          <w:sz w:val="32"/>
          <w:szCs w:val="32"/>
        </w:rPr>
        <w:t xml:space="preserve">  医院现有的科研项目经费（国家级、省部级、厅局级科研项目），包括在研项目经费（含新立项项目）和本单位配套经费。负责课题子项目的只统计该课题经费中划分给本单位的实际经费，而不是该课题的所有经费总额，即剔除与其他单位合作的拨出经费，加上从其他部门取得的财政拨款。</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lang w:val="en-US" w:eastAsia="zh-CN"/>
        </w:rPr>
        <w:t>16、</w:t>
      </w:r>
      <w:r>
        <w:rPr>
          <w:rFonts w:hint="default" w:ascii="Times New Roman" w:hAnsi="Times New Roman" w:eastAsia="仿宋_GB2312" w:cs="Times New Roman"/>
          <w:b/>
          <w:sz w:val="32"/>
          <w:szCs w:val="32"/>
        </w:rPr>
        <w:t>本单位科研经费投入额</w:t>
      </w:r>
      <w:r>
        <w:rPr>
          <w:rFonts w:hint="default" w:ascii="Times New Roman" w:hAnsi="Times New Roman" w:eastAsia="仿宋_GB2312" w:cs="Times New Roman"/>
          <w:sz w:val="32"/>
          <w:szCs w:val="32"/>
        </w:rPr>
        <w:t xml:space="preserve">  包括科研项目经费、科研管理平台建立与维护、内部创新激励奖金、专职科研人员工资收入等。</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lang w:val="en-US" w:eastAsia="zh-CN"/>
        </w:rPr>
        <w:t>17、</w:t>
      </w:r>
      <w:r>
        <w:rPr>
          <w:rFonts w:hint="default" w:ascii="Times New Roman" w:hAnsi="Times New Roman" w:eastAsia="仿宋_GB2312" w:cs="Times New Roman"/>
          <w:b/>
          <w:sz w:val="32"/>
          <w:szCs w:val="32"/>
        </w:rPr>
        <w:t>医院医疗业务收入</w:t>
      </w:r>
      <w:r>
        <w:rPr>
          <w:rFonts w:hint="default" w:ascii="Times New Roman" w:hAnsi="Times New Roman" w:eastAsia="仿宋_GB2312" w:cs="Times New Roman"/>
          <w:sz w:val="32"/>
          <w:szCs w:val="32"/>
        </w:rPr>
        <w:t xml:space="preserve">  包括挂号收入、床位收入、诊察收入、检查收入、治疗收入、护理收入、康复治疗收入和药品收入（销售西药、中成药、中草药的收入）。</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lang w:val="en-US" w:eastAsia="zh-CN"/>
        </w:rPr>
        <w:t>18、</w:t>
      </w:r>
      <w:r>
        <w:rPr>
          <w:rFonts w:hint="default" w:ascii="Times New Roman" w:hAnsi="Times New Roman" w:eastAsia="仿宋_GB2312" w:cs="Times New Roman"/>
          <w:b/>
          <w:sz w:val="32"/>
          <w:szCs w:val="32"/>
        </w:rPr>
        <w:t>专职科研管理人员</w:t>
      </w:r>
      <w:r>
        <w:rPr>
          <w:rFonts w:hint="default" w:ascii="Times New Roman" w:hAnsi="Times New Roman" w:eastAsia="仿宋_GB2312" w:cs="Times New Roman"/>
          <w:sz w:val="32"/>
          <w:szCs w:val="32"/>
        </w:rPr>
        <w:t xml:space="preserve">  专门负责科研课题管理、学术活动管理、科研档案管理、科研成果评奖管理、科研经费管理、日常公务管理等事务的人员，包括行政人员。</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lang w:val="en-US" w:eastAsia="zh-CN"/>
        </w:rPr>
        <w:t>19、</w:t>
      </w:r>
      <w:r>
        <w:rPr>
          <w:rFonts w:hint="default" w:ascii="Times New Roman" w:hAnsi="Times New Roman" w:eastAsia="仿宋_GB2312" w:cs="Times New Roman"/>
          <w:b/>
          <w:sz w:val="32"/>
          <w:szCs w:val="32"/>
        </w:rPr>
        <w:t>科研管理机构</w:t>
      </w:r>
      <w:r>
        <w:rPr>
          <w:rFonts w:hint="default" w:ascii="Times New Roman" w:hAnsi="Times New Roman" w:eastAsia="仿宋_GB2312" w:cs="Times New Roman"/>
          <w:sz w:val="32"/>
          <w:szCs w:val="32"/>
        </w:rPr>
        <w:t xml:space="preserve">  科研的组织领导体制(科研管理机构、学术委员会或科研伦理委员会等)或者设置了相应的科研机构(类似于研究所、研究室或研究组等)。</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lang w:val="en-US" w:eastAsia="zh-CN"/>
        </w:rPr>
        <w:t>20、</w:t>
      </w:r>
      <w:r>
        <w:rPr>
          <w:rFonts w:hint="default" w:ascii="Times New Roman" w:hAnsi="Times New Roman" w:eastAsia="仿宋_GB2312" w:cs="Times New Roman"/>
          <w:b/>
          <w:sz w:val="32"/>
          <w:szCs w:val="32"/>
        </w:rPr>
        <w:t>科研规划与制度</w:t>
      </w:r>
      <w:r>
        <w:rPr>
          <w:rFonts w:hint="default" w:ascii="Times New Roman" w:hAnsi="Times New Roman" w:eastAsia="仿宋_GB2312" w:cs="Times New Roman"/>
          <w:sz w:val="32"/>
          <w:szCs w:val="32"/>
        </w:rPr>
        <w:t xml:space="preserve">  建立健全的相关科技管理制度和认真落实上级的规章制度，如科研计划与成果管理制度、科研支持条例管理制度、学术交流制度、科技激励制度等。</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lang w:val="en-US" w:eastAsia="zh-CN"/>
        </w:rPr>
        <w:t>21、</w:t>
      </w:r>
      <w:r>
        <w:rPr>
          <w:rFonts w:hint="default" w:ascii="Times New Roman" w:hAnsi="Times New Roman" w:eastAsia="仿宋_GB2312" w:cs="Times New Roman"/>
          <w:b/>
          <w:sz w:val="32"/>
          <w:szCs w:val="32"/>
        </w:rPr>
        <w:t>中华系列杂志</w:t>
      </w:r>
      <w:r>
        <w:rPr>
          <w:rFonts w:hint="default" w:ascii="Times New Roman" w:hAnsi="Times New Roman" w:eastAsia="仿宋_GB2312" w:cs="Times New Roman"/>
          <w:sz w:val="32"/>
          <w:szCs w:val="32"/>
        </w:rPr>
        <w:t xml:space="preserve">  中华医学会主办的中华系列杂志，如《中华医学杂志》、《中华儿科杂志》、《中华眼科杂志》等。</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lang w:val="en-US" w:eastAsia="zh-CN"/>
        </w:rPr>
        <w:t>22、</w:t>
      </w:r>
      <w:r>
        <w:rPr>
          <w:rFonts w:hint="default" w:ascii="Times New Roman" w:hAnsi="Times New Roman" w:eastAsia="仿宋_GB2312" w:cs="Times New Roman"/>
          <w:b/>
          <w:sz w:val="32"/>
          <w:szCs w:val="32"/>
        </w:rPr>
        <w:t>国家科学技术奖</w:t>
      </w:r>
      <w:r>
        <w:rPr>
          <w:rFonts w:hint="default" w:ascii="Times New Roman" w:hAnsi="Times New Roman" w:eastAsia="仿宋_GB2312" w:cs="Times New Roman"/>
          <w:sz w:val="32"/>
          <w:szCs w:val="32"/>
        </w:rPr>
        <w:t xml:space="preserve">  国务院设立了五项国家科学技术奖：国家最高科学技术奖、国家自然科学奖、国家技术发明奖、国家科学技术进步奖和中华人民共和国国际科学技术合作奖。</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lang w:val="en-US" w:eastAsia="zh-CN"/>
        </w:rPr>
        <w:t>23、</w:t>
      </w:r>
      <w:r>
        <w:rPr>
          <w:rFonts w:hint="default" w:ascii="Times New Roman" w:hAnsi="Times New Roman" w:eastAsia="仿宋_GB2312" w:cs="Times New Roman"/>
          <w:b/>
          <w:sz w:val="32"/>
          <w:szCs w:val="32"/>
        </w:rPr>
        <w:t>国家级学会奖</w:t>
      </w:r>
      <w:r>
        <w:rPr>
          <w:rFonts w:hint="default" w:ascii="Times New Roman" w:hAnsi="Times New Roman" w:eastAsia="仿宋_GB2312" w:cs="Times New Roman"/>
          <w:sz w:val="32"/>
          <w:szCs w:val="32"/>
        </w:rPr>
        <w:t xml:space="preserve">  即包括中华医学会、中华预防医学会、中华护理学会、中华中医药学会等国家一级学会颁发的奖项。</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lang w:val="en-US" w:eastAsia="zh-CN"/>
        </w:rPr>
        <w:t>24、</w:t>
      </w:r>
      <w:r>
        <w:rPr>
          <w:rFonts w:hint="default" w:ascii="Times New Roman" w:hAnsi="Times New Roman" w:eastAsia="仿宋_GB2312" w:cs="Times New Roman"/>
          <w:b/>
          <w:sz w:val="32"/>
          <w:szCs w:val="32"/>
        </w:rPr>
        <w:t>国际指南与规范</w:t>
      </w:r>
      <w:r>
        <w:rPr>
          <w:rFonts w:hint="default" w:ascii="Times New Roman" w:hAnsi="Times New Roman" w:eastAsia="仿宋_GB2312" w:cs="Times New Roman"/>
          <w:sz w:val="32"/>
          <w:szCs w:val="32"/>
        </w:rPr>
        <w:t xml:space="preserve">  国际指南与规范指参与国际相关行业标准的制定，并获得相关证书。</w:t>
      </w:r>
      <w:bookmarkStart w:id="1" w:name="_Toc32767_WPSOffice_Level1"/>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sz w:val="32"/>
          <w:szCs w:val="32"/>
        </w:rPr>
      </w:pPr>
      <w:r>
        <w:rPr>
          <w:rFonts w:hint="default" w:ascii="Times New Roman" w:hAnsi="Times New Roman" w:eastAsia="黑体" w:cs="Times New Roman"/>
          <w:sz w:val="32"/>
          <w:szCs w:val="32"/>
          <w:lang w:eastAsia="zh-CN"/>
        </w:rPr>
        <w:t>二、</w:t>
      </w:r>
      <w:r>
        <w:rPr>
          <w:rFonts w:hint="default" w:ascii="Times New Roman" w:hAnsi="Times New Roman" w:eastAsia="黑体" w:cs="Times New Roman"/>
          <w:b w:val="0"/>
          <w:sz w:val="32"/>
          <w:szCs w:val="32"/>
        </w:rPr>
        <w:t>部分指标计算公式</w:t>
      </w:r>
      <w:bookmarkEnd w:id="1"/>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专职科研人员占卫生技术人员百分比=专职科研人员数/卫生技术人员总数×100%</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每百名卫生技术人员科研项目经费=本年度科研项目立项经费总额/同期卫生技术人员总数×100</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本单位科研经费投入额与医院业务收入比=本年度本单位科研经费投入额/同期医院医疗业务收入×100%</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 xml:space="preserve">博士生导师人数占比=博士生导师数/同期卫生技术人员总数×100% </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 xml:space="preserve">硕士生导师人数占比=硕士生导师数/同期卫生技术人员总数×100% </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出院患者四级手术比例=出院患者四级手术台次数/同期出院患者手术台次数×100%（含医嘱离院、医嘱转其他医疗机构、非医嘱离院或其他人数，不含死亡与家庭病床撤床人数。）</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疑难危重病人占比=疑难危重病人数量/同期病人总数×100%</w:t>
      </w:r>
    </w:p>
    <w:p>
      <w:pPr>
        <w:tabs>
          <w:tab w:val="left" w:pos="312"/>
        </w:tabs>
        <w:spacing w:line="560" w:lineRule="exact"/>
        <w:rPr>
          <w:rFonts w:hint="default" w:ascii="Times New Roman" w:hAnsi="Times New Roman" w:eastAsia="黑体" w:cs="Times New Roman"/>
          <w:sz w:val="32"/>
          <w:szCs w:val="32"/>
        </w:rPr>
        <w:sectPr>
          <w:footerReference r:id="rId3" w:type="default"/>
          <w:pgSz w:w="11906" w:h="16838"/>
          <w:pgMar w:top="2041" w:right="1531" w:bottom="2041" w:left="1531" w:header="851" w:footer="1332" w:gutter="0"/>
          <w:pgNumType w:fmt="numberInDash"/>
          <w:cols w:space="720" w:num="1"/>
          <w:titlePg/>
          <w:rtlGutter w:val="0"/>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path/>
              <v:fill on="f" focussize="0,0"/>
              <v:stroke on="f"/>
              <v:imagedata o:title=""/>
              <o:lock v:ext="edit" aspectratio="f"/>
              <v:textbox inset="0mm,0mm,0mm,0mm" style="mso-fit-shape-to-text:t;">
                <w:txbxContent>
                  <w:p>
                    <w:pPr>
                      <w:pStyle w:val="3"/>
                      <w:rPr>
                        <w:rFonts w:hint="eastAsia"/>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9A14E8"/>
    <w:rsid w:val="7E9A14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2019-09-18T10:00:00Z</dcterms:created>
  <dc:creator>ning</dc:creator>
  <cp:lastModifiedBy>ning</cp:lastModifiedBy>
  <dcterms:modified xsi:type="dcterms:W3CDTF">2019-09-18T10:00:43Z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