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广东省2019年生殖健康咨询师国家职业</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技能鉴定考试工作方案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一、考务组织</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省卫生健康委负责全省生殖健康咨询师国家职业技能鉴定考试的组织实施，省医学学术交流中心承担省级层面相关考务工作，各地级以上市卫生健康部门负责本地区的相关考务工作，考试方式为无纸化上机考试。</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二、考试对象</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从事卫生</w:t>
      </w:r>
      <w:bookmarkStart w:id="0" w:name="_GoBack"/>
      <w:bookmarkEnd w:id="0"/>
      <w:r>
        <w:rPr>
          <w:rFonts w:hint="default" w:ascii="Times New Roman" w:hAnsi="Times New Roman" w:eastAsia="仿宋_GB2312" w:cs="Times New Roman"/>
          <w:sz w:val="32"/>
          <w:szCs w:val="32"/>
          <w:lang w:val="en-US" w:eastAsia="zh-CN"/>
        </w:rPr>
        <w:t>健康行业生殖健康咨询服务及相关工作的人员。</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三、报考条件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（一）生殖健康助理咨询员（五级）（具备以下条件之一者）</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累计从事本职业或相关职业工作1年（含）以上。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本职业或相关职业学徒期满。</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（二）生殖健康咨询员（四级）（具备以下条件之一者）</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取得本职业或相关职业五级/初级工职业资格证书后，累计从事本职业或相关职业工作4年（含）以上。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累计从事本职业或相关职业工作6年（含）以上。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（三）生殖健康助理咨询师（三级）（具备以下条件之一者）</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取得本职业或相关职业四级/中级工职业资格证书后，累计从事本职业或相关职业工作5年（含）以上。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取得本职业或相关职业四级/中级工职业资格证书，并具有高级技工学校、技师学院毕业证书（含尚未取得毕业证书的在校应届毕业生）；或取得本职业或相关职业四级/中级工职业资格证书，并具有经评估论证、以高级技能为培养目标的高等职业学校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具有大专及以上本专业或相关专业毕业证书，并取得本职业或相关职业四级/中级工职业资格证书后，累计从事本职业或相关职业工作2年（含）以上。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注：1.相关职业为医师、护士（含助产士）、健康管理师、婚姻家庭咨询师、妇幼保健员、公共卫生人员、社会工作者等。2.本专业为护理、妇幼保健、生殖健康服务与管理、人口与家庭发展服务等。3.相关专业为临床医学、遗传学、临床检验诊断学、预防医学、药学、中医药学、杜会工作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四、报名办法</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此次考试采取网上报名方式，报名时间：</w:t>
      </w:r>
      <w:r>
        <w:rPr>
          <w:rFonts w:hint="default" w:ascii="Times New Roman" w:hAnsi="Times New Roman" w:eastAsia="仿宋_GB2312" w:cs="Times New Roman"/>
          <w:color w:val="000000"/>
          <w:sz w:val="32"/>
          <w:szCs w:val="32"/>
          <w:lang w:val="en-US" w:eastAsia="zh-CN"/>
        </w:rPr>
        <w:t>2019年7月22日至8月18日17：00。</w:t>
      </w:r>
      <w:r>
        <w:rPr>
          <w:rFonts w:hint="default" w:ascii="Times New Roman" w:hAnsi="Times New Roman" w:eastAsia="仿宋_GB2312" w:cs="Times New Roman"/>
          <w:sz w:val="32"/>
          <w:szCs w:val="32"/>
          <w:lang w:val="en-US" w:eastAsia="zh-CN"/>
        </w:rPr>
        <w:t>考生自行登录国家卫生健康委能力建设和继续教育中心网站（www.chinacpd.cn）生殖健康咨询师考试专栏，进行个人自主报名，并上传学历证书（注：应届毕业生上传学校出具的在读证明并加盖公章）、</w:t>
      </w:r>
      <w:r>
        <w:rPr>
          <w:rFonts w:hint="default" w:ascii="Times New Roman" w:hAnsi="Times New Roman" w:eastAsia="仿宋_GB2312" w:cs="Times New Roman"/>
          <w:color w:val="000000"/>
          <w:sz w:val="32"/>
          <w:szCs w:val="32"/>
          <w:lang w:val="en-US" w:eastAsia="zh-CN"/>
        </w:rPr>
        <w:t>申请人书面承诺书（注：工作经历证明）等材料。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val="en-US" w:eastAsia="zh-CN"/>
        </w:rPr>
        <w:t>（注：1.本次考试不提供集体报名及缴费。2.考生照片应为近期免冠蓝底证件照，90×120像素，300×300分辨率，jpg格式，大小在20k-60k之间；报名条件证明材料应为jpg格式，大小在100k-300k之间。</w:t>
      </w:r>
      <w:r>
        <w:rPr>
          <w:rFonts w:hint="default" w:ascii="Times New Roman" w:hAnsi="Times New Roman" w:eastAsia="仿宋_GB2312" w:cs="Times New Roman"/>
          <w:color w:val="000000"/>
          <w:sz w:val="32"/>
          <w:szCs w:val="32"/>
          <w:lang w:val="en-US" w:eastAsia="zh-CN"/>
        </w:rPr>
        <w:t>3.考生在报考时可自行选择证书领取方式。4.请考生认真填写报考相关信息，信息一经提交系统不可修改。5.报名技术支持电话：010-85282055-114。）</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考试时间及科目</w:t>
      </w:r>
    </w:p>
    <w:tbl>
      <w:tblPr>
        <w:tblStyle w:val="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2414"/>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2972" w:type="dxa"/>
            <w:vMerge w:val="restart"/>
            <w:noWrap w:val="0"/>
            <w:vAlign w:val="center"/>
          </w:tcPr>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2019年</w:t>
            </w:r>
            <w:r>
              <w:rPr>
                <w:rFonts w:ascii="Times New Roman" w:hAnsi="Times New Roman" w:eastAsia="仿宋_GB2312" w:cs="Times New Roman"/>
                <w:color w:val="000000"/>
                <w:kern w:val="2"/>
                <w:sz w:val="32"/>
                <w:szCs w:val="32"/>
              </w:rPr>
              <w:t>10</w:t>
            </w:r>
            <w:r>
              <w:rPr>
                <w:rFonts w:hint="default" w:ascii="Times New Roman" w:hAnsi="Times New Roman" w:eastAsia="仿宋_GB2312" w:cs="Times New Roman"/>
                <w:color w:val="000000"/>
                <w:kern w:val="2"/>
                <w:sz w:val="32"/>
                <w:szCs w:val="32"/>
              </w:rPr>
              <w:t>月</w:t>
            </w:r>
            <w:r>
              <w:rPr>
                <w:rFonts w:ascii="Times New Roman" w:hAnsi="Times New Roman" w:eastAsia="仿宋_GB2312" w:cs="Times New Roman"/>
                <w:color w:val="000000"/>
                <w:kern w:val="2"/>
                <w:sz w:val="32"/>
                <w:szCs w:val="32"/>
              </w:rPr>
              <w:t>26</w:t>
            </w:r>
            <w:r>
              <w:rPr>
                <w:rFonts w:hint="default" w:ascii="Times New Roman" w:hAnsi="Times New Roman" w:eastAsia="仿宋_GB2312" w:cs="Times New Roman"/>
                <w:color w:val="000000"/>
                <w:kern w:val="2"/>
                <w:sz w:val="32"/>
                <w:szCs w:val="32"/>
              </w:rPr>
              <w:t>日</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（周六）上午</w:t>
            </w:r>
          </w:p>
        </w:tc>
        <w:tc>
          <w:tcPr>
            <w:tcW w:w="2414" w:type="dxa"/>
            <w:noWrap w:val="0"/>
            <w:vAlign w:val="center"/>
          </w:tcPr>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9</w:t>
            </w:r>
            <w:r>
              <w:rPr>
                <w:rFonts w:hint="default" w:ascii="Times New Roman" w:hAnsi="Times New Roman" w:eastAsia="仿宋_GB2312" w:cs="Times New Roman"/>
                <w:color w:val="000000"/>
                <w:kern w:val="2"/>
                <w:sz w:val="32"/>
                <w:szCs w:val="32"/>
                <w:lang w:val="en-US" w:eastAsia="zh-CN"/>
              </w:rPr>
              <w:t>:</w:t>
            </w:r>
            <w:r>
              <w:rPr>
                <w:rFonts w:ascii="Times New Roman" w:hAnsi="Times New Roman" w:eastAsia="仿宋_GB2312" w:cs="Times New Roman"/>
                <w:color w:val="000000"/>
                <w:kern w:val="2"/>
                <w:sz w:val="32"/>
                <w:szCs w:val="32"/>
              </w:rPr>
              <w:t>00</w:t>
            </w:r>
            <w:r>
              <w:rPr>
                <w:rFonts w:hint="default" w:ascii="Times New Roman" w:hAnsi="Times New Roman" w:eastAsia="仿宋_GB2312" w:cs="Times New Roman"/>
                <w:color w:val="000000"/>
                <w:kern w:val="2"/>
                <w:sz w:val="32"/>
                <w:szCs w:val="32"/>
                <w:lang w:val="en-US" w:eastAsia="zh-CN"/>
              </w:rPr>
              <w:t xml:space="preserve"> - </w:t>
            </w:r>
            <w:r>
              <w:rPr>
                <w:rFonts w:ascii="Times New Roman" w:hAnsi="Times New Roman" w:eastAsia="仿宋_GB2312" w:cs="Times New Roman"/>
                <w:color w:val="000000"/>
                <w:kern w:val="2"/>
                <w:sz w:val="32"/>
                <w:szCs w:val="32"/>
              </w:rPr>
              <w:t>10</w:t>
            </w:r>
            <w:r>
              <w:rPr>
                <w:rFonts w:hint="default" w:ascii="Times New Roman" w:hAnsi="Times New Roman" w:eastAsia="仿宋_GB2312" w:cs="Times New Roman"/>
                <w:color w:val="000000"/>
                <w:kern w:val="2"/>
                <w:sz w:val="32"/>
                <w:szCs w:val="32"/>
                <w:lang w:val="en-US" w:eastAsia="zh-CN"/>
              </w:rPr>
              <w:t>:</w:t>
            </w:r>
            <w:r>
              <w:rPr>
                <w:rFonts w:ascii="Times New Roman" w:hAnsi="Times New Roman" w:eastAsia="仿宋_GB2312" w:cs="Times New Roman"/>
                <w:color w:val="000000"/>
                <w:kern w:val="2"/>
                <w:sz w:val="32"/>
                <w:szCs w:val="32"/>
              </w:rPr>
              <w:t>30</w:t>
            </w:r>
          </w:p>
        </w:tc>
        <w:tc>
          <w:tcPr>
            <w:tcW w:w="3136" w:type="dxa"/>
            <w:noWrap w:val="0"/>
            <w:vAlign w:val="center"/>
          </w:tcPr>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2972" w:type="dxa"/>
            <w:vMerge w:val="continue"/>
            <w:noWrap w:val="0"/>
            <w:vAlign w:val="top"/>
          </w:tcPr>
          <w:p>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ascii="Times New Roman" w:hAnsi="Times New Roman" w:eastAsia="仿宋" w:cs="Times New Roman"/>
                <w:bCs/>
                <w:color w:val="000000"/>
                <w:kern w:val="2"/>
                <w:sz w:val="32"/>
                <w:szCs w:val="32"/>
              </w:rPr>
            </w:pPr>
          </w:p>
        </w:tc>
        <w:tc>
          <w:tcPr>
            <w:tcW w:w="2414" w:type="dxa"/>
            <w:noWrap w:val="0"/>
            <w:vAlign w:val="center"/>
          </w:tcPr>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10:30</w:t>
            </w:r>
            <w:r>
              <w:rPr>
                <w:rFonts w:hint="default" w:ascii="Times New Roman" w:hAnsi="Times New Roman" w:eastAsia="仿宋_GB2312" w:cs="Times New Roman"/>
                <w:color w:val="000000"/>
                <w:kern w:val="2"/>
                <w:sz w:val="32"/>
                <w:szCs w:val="32"/>
                <w:lang w:val="en-US" w:eastAsia="zh-CN"/>
              </w:rPr>
              <w:t xml:space="preserve"> </w:t>
            </w:r>
            <w:r>
              <w:rPr>
                <w:rFonts w:ascii="Times New Roman" w:hAnsi="Times New Roman" w:eastAsia="仿宋_GB2312" w:cs="Times New Roman"/>
                <w:color w:val="000000"/>
                <w:kern w:val="2"/>
                <w:sz w:val="32"/>
                <w:szCs w:val="32"/>
              </w:rPr>
              <w:t>-</w:t>
            </w:r>
            <w:r>
              <w:rPr>
                <w:rFonts w:hint="default" w:ascii="Times New Roman" w:hAnsi="Times New Roman" w:eastAsia="仿宋_GB2312" w:cs="Times New Roman"/>
                <w:color w:val="000000"/>
                <w:kern w:val="2"/>
                <w:sz w:val="32"/>
                <w:szCs w:val="32"/>
                <w:lang w:val="en-US" w:eastAsia="zh-CN"/>
              </w:rPr>
              <w:t xml:space="preserve"> </w:t>
            </w:r>
            <w:r>
              <w:rPr>
                <w:rFonts w:ascii="Times New Roman" w:hAnsi="Times New Roman" w:eastAsia="仿宋_GB2312" w:cs="Times New Roman"/>
                <w:color w:val="000000"/>
                <w:kern w:val="2"/>
                <w:sz w:val="32"/>
                <w:szCs w:val="32"/>
              </w:rPr>
              <w:t>12:00</w:t>
            </w:r>
          </w:p>
        </w:tc>
        <w:tc>
          <w:tcPr>
            <w:tcW w:w="3136" w:type="dxa"/>
            <w:noWrap w:val="0"/>
            <w:vAlign w:val="center"/>
          </w:tcPr>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《咨询技能》</w:t>
            </w:r>
          </w:p>
        </w:tc>
      </w:tr>
    </w:tbl>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考试资格审核</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jc w:val="both"/>
        <w:textAlignment w:val="auto"/>
        <w:outlineLvl w:val="9"/>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000000"/>
          <w:sz w:val="32"/>
          <w:szCs w:val="32"/>
          <w:lang w:val="en-US" w:eastAsia="zh-CN"/>
        </w:rPr>
        <w:t>2019年7月22日至8月20日，</w:t>
      </w:r>
      <w:r>
        <w:rPr>
          <w:rFonts w:hint="default" w:ascii="Times New Roman" w:hAnsi="Times New Roman" w:eastAsia="仿宋_GB2312" w:cs="Times New Roman"/>
          <w:sz w:val="32"/>
          <w:szCs w:val="32"/>
          <w:lang w:val="en-US" w:eastAsia="zh-CN"/>
        </w:rPr>
        <w:t>由各地级以上市考务管理部门负责网上审核考生照片、报考条件等相关证明材料。</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考生个人网上缴费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考生资格审核通过后，登录国家卫生健康委能力建设和继续教育中心网站进行个人缴费，缴费截止时间：</w:t>
      </w:r>
      <w:r>
        <w:rPr>
          <w:rFonts w:hint="default" w:ascii="Times New Roman" w:hAnsi="Times New Roman" w:eastAsia="仿宋_GB2312" w:cs="Times New Roman"/>
          <w:color w:val="000000"/>
          <w:sz w:val="32"/>
          <w:szCs w:val="32"/>
          <w:lang w:val="en-US" w:eastAsia="zh-CN"/>
        </w:rPr>
        <w:t>2019年8月22日17:00。</w:t>
      </w:r>
      <w:r>
        <w:rPr>
          <w:rFonts w:hint="default" w:ascii="Times New Roman" w:hAnsi="Times New Roman" w:eastAsia="仿宋_GB2312" w:cs="Times New Roman"/>
          <w:sz w:val="32"/>
          <w:szCs w:val="32"/>
          <w:lang w:val="en-US" w:eastAsia="zh-CN"/>
        </w:rPr>
        <w:t>（注：考试费用按照《财政部 国家发展改革委关于重新发布中央管理的卫生计生部门行政事业性收费项目的通知》（财税〔2016〕14号）和《国家发展改革委 财政部关于重新核发中央管理的部门行政事业性收费标准等有关问题的通知》（发改价格〔2016〕488号）精神，国家卫生健康委所属能力建设和继续教育中心在组织生殖健康咨询师职业技能考试（五级、四级、三级），向考生收取考试费，考试收费标准为124元/人。柜台缴费咨询电话：400-888-5699）</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准考证打印时间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2019年10月14日至10月26日,考生可登录国家卫生健康委能力建设和继续教育中心网站生殖健康咨询师考试专栏，自行下载、打印准考证。</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考点设置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国家卫生健康委能力建设和继续教育中心将依据各省（区、市）报名的实际情况，按照考生相对集中的原则统一设立考点。考点一般设在国家开放大学所在的各地市、县级广播电视大学。</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其他有关问题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（一）签订考试合作协议书。</w:t>
      </w:r>
      <w:r>
        <w:rPr>
          <w:rFonts w:hint="default" w:ascii="Times New Roman" w:hAnsi="Times New Roman" w:eastAsia="仿宋_GB2312" w:cs="Times New Roman"/>
          <w:color w:val="000000"/>
          <w:sz w:val="32"/>
          <w:szCs w:val="32"/>
          <w:lang w:val="en-US" w:eastAsia="zh-CN"/>
        </w:rPr>
        <w:t>2019年8月</w:t>
      </w:r>
      <w:r>
        <w:rPr>
          <w:rFonts w:hint="default" w:ascii="Times New Roman" w:hAnsi="Times New Roman" w:eastAsia="仿宋_GB2312" w:cs="Times New Roman"/>
          <w:sz w:val="32"/>
          <w:szCs w:val="32"/>
          <w:lang w:val="en-US" w:eastAsia="zh-CN"/>
        </w:rPr>
        <w:t>国家卫生健康委能力建设和继续教育中心与各省（自治区、直辖市）级考务管理机构签订考试合作协议书。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（二）召开考点考务工作会。</w:t>
      </w:r>
      <w:r>
        <w:rPr>
          <w:rFonts w:hint="default" w:ascii="Times New Roman" w:hAnsi="Times New Roman" w:eastAsia="仿宋_GB2312" w:cs="Times New Roman"/>
          <w:sz w:val="32"/>
          <w:szCs w:val="32"/>
          <w:lang w:val="en-US" w:eastAsia="zh-CN"/>
        </w:rPr>
        <w:t>国家卫生健康委能力建设和继续教育中心</w:t>
      </w:r>
      <w:r>
        <w:rPr>
          <w:rFonts w:hint="default" w:ascii="Times New Roman" w:hAnsi="Times New Roman" w:eastAsia="仿宋_GB2312" w:cs="Times New Roman"/>
          <w:color w:val="auto"/>
          <w:sz w:val="32"/>
          <w:szCs w:val="32"/>
          <w:lang w:val="en-US" w:eastAsia="zh-CN"/>
        </w:rPr>
        <w:t>将于2019年10月18日</w:t>
      </w:r>
      <w:r>
        <w:rPr>
          <w:rFonts w:hint="default" w:ascii="Times New Roman" w:hAnsi="Times New Roman" w:eastAsia="仿宋_GB2312" w:cs="Times New Roman"/>
          <w:sz w:val="32"/>
          <w:szCs w:val="32"/>
          <w:lang w:val="en-US" w:eastAsia="zh-CN"/>
        </w:rPr>
        <w:t>利用国家开放大学视频会议系统</w:t>
      </w:r>
      <w:r>
        <w:rPr>
          <w:rFonts w:hint="default" w:ascii="Times New Roman" w:hAnsi="Times New Roman" w:eastAsia="仿宋_GB2312" w:cs="Times New Roman"/>
          <w:color w:val="auto"/>
          <w:sz w:val="32"/>
          <w:szCs w:val="32"/>
          <w:lang w:val="en-US" w:eastAsia="zh-CN"/>
        </w:rPr>
        <w:t>召开考点考务会。各地级以上市</w:t>
      </w:r>
      <w:r>
        <w:rPr>
          <w:rFonts w:hint="default" w:ascii="Times New Roman" w:hAnsi="Times New Roman" w:eastAsia="仿宋_GB2312" w:cs="Times New Roman"/>
          <w:sz w:val="32"/>
          <w:szCs w:val="32"/>
          <w:lang w:val="en-US" w:eastAsia="zh-CN"/>
        </w:rPr>
        <w:t>考点负责人、考务管理工作人员、考点负责人、监考人员、考点技术支持人员等相关人员参加考点考务工作会，介绍前期各考点考务筹备情况，制订应急预案，明确考试流程相关工作，讲解相关技术等。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（三）成绩查询。</w:t>
      </w:r>
      <w:r>
        <w:rPr>
          <w:rFonts w:hint="default" w:ascii="Times New Roman" w:hAnsi="Times New Roman" w:eastAsia="仿宋_GB2312" w:cs="Times New Roman"/>
          <w:sz w:val="32"/>
          <w:szCs w:val="32"/>
          <w:lang w:val="en-US" w:eastAsia="zh-CN"/>
        </w:rPr>
        <w:t>11月中下旬，考生可登陆国家卫生健康委能力建设和继续教育中心网站查询成绩。</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（四）证书发放。</w:t>
      </w:r>
      <w:r>
        <w:rPr>
          <w:rFonts w:hint="default" w:ascii="Times New Roman" w:hAnsi="Times New Roman" w:eastAsia="仿宋_GB2312" w:cs="Times New Roman"/>
          <w:sz w:val="32"/>
          <w:szCs w:val="32"/>
          <w:lang w:val="en-US" w:eastAsia="zh-CN"/>
        </w:rPr>
        <w:t>考生成绩双科均达60分（含）以上者为合格，可获得由人社部及</w:t>
      </w:r>
      <w:r>
        <w:rPr>
          <w:rFonts w:hint="default" w:ascii="Times New Roman" w:hAnsi="Times New Roman" w:eastAsia="仿宋_GB2312" w:cs="Times New Roman"/>
          <w:color w:val="000000"/>
          <w:sz w:val="32"/>
          <w:szCs w:val="32"/>
          <w:lang w:val="en-US" w:eastAsia="zh-CN"/>
        </w:rPr>
        <w:t>国家卫生健康委</w:t>
      </w:r>
      <w:r>
        <w:rPr>
          <w:rFonts w:hint="default" w:ascii="Times New Roman" w:hAnsi="Times New Roman" w:eastAsia="仿宋_GB2312" w:cs="Times New Roman"/>
          <w:sz w:val="32"/>
          <w:szCs w:val="32"/>
          <w:lang w:val="en-US" w:eastAsia="zh-CN"/>
        </w:rPr>
        <w:t>统一印制颁发的生殖健康咨询师国家职业资格证书。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（五）证书查询。</w:t>
      </w:r>
      <w:r>
        <w:rPr>
          <w:rFonts w:hint="default" w:ascii="Times New Roman" w:hAnsi="Times New Roman" w:eastAsia="仿宋_GB2312" w:cs="Times New Roman"/>
          <w:sz w:val="32"/>
          <w:szCs w:val="32"/>
          <w:lang w:val="en-US" w:eastAsia="zh-CN"/>
        </w:rPr>
        <w:t>证书颁发之日起30日内，考生可登录国家职业资格证书全国联网查询系统（http://zscx.osta.org.cn/）查询考生个人证书信息。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（六）省级考试考务工作单位及联系人：</w:t>
      </w:r>
      <w:r>
        <w:rPr>
          <w:rFonts w:hint="default" w:ascii="Times New Roman" w:hAnsi="Times New Roman" w:eastAsia="仿宋_GB2312" w:cs="Times New Roman"/>
          <w:sz w:val="32"/>
          <w:szCs w:val="32"/>
          <w:lang w:val="en-US" w:eastAsia="zh-CN"/>
        </w:rPr>
        <w:t>广东省医学学术交流中心，地址：广东省广州市越秀区惠福西路2-6六楼606室，联系人：姚宇飞 陈海东，电话：020-81906063 020-83331243。</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请各地级以上市将负责此项工作人员信息（姓名、单位职务、联系方式）于8月10日前传真至020-81906063，或发送至电子邮箱：</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"mailto:wsrckpb@163.com。"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wsrckpb@163.com。</w:t>
      </w:r>
      <w:r>
        <w:rPr>
          <w:rFonts w:hint="default" w:ascii="Times New Roman" w:hAnsi="Times New Roman" w:eastAsia="仿宋_GB2312" w:cs="Times New Roman"/>
          <w:sz w:val="32"/>
          <w:szCs w:val="32"/>
          <w:lang w:val="en-US" w:eastAsia="zh-CN"/>
        </w:rPr>
        <w:fldChar w:fldCharType="end"/>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相关要求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（一）提高政治站位，强化组织领导。</w:t>
      </w:r>
      <w:r>
        <w:rPr>
          <w:rFonts w:hint="default" w:ascii="Times New Roman" w:hAnsi="Times New Roman" w:eastAsia="仿宋_GB2312" w:cs="Times New Roman"/>
          <w:sz w:val="32"/>
          <w:szCs w:val="32"/>
          <w:lang w:val="en-US" w:eastAsia="zh-CN"/>
        </w:rPr>
        <w:t>各地要充分认识到生殖健康咨询师职业技能鉴定考试是贯彻落实党的十九大精神，推动健康中国建设的重要内容，是落实《健康中国“2030”规划纲要》、深入实施人才强国战略、提高生殖健康服务能力水平的重要举措。要以“钉钉子”的精神担当尽责，认真组织实施，确保考试安全、规范、有序进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（二）严肃考试纪律，层层落实责任。</w:t>
      </w:r>
      <w:r>
        <w:rPr>
          <w:rFonts w:hint="default" w:ascii="Times New Roman" w:hAnsi="Times New Roman" w:eastAsia="仿宋_GB2312" w:cs="Times New Roman"/>
          <w:sz w:val="32"/>
          <w:szCs w:val="32"/>
          <w:lang w:val="en-US" w:eastAsia="zh-CN"/>
        </w:rPr>
        <w:t>各地要严格按照国家级考试的规定，落实各项要求。各级考务管理机构及相关负责人要结合本地实际，研究制定本地区考试工作方案及应急预案，切实杠起抓落实的主体责任。</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（三）细化考试流程，服务基层考生。</w:t>
      </w:r>
      <w:r>
        <w:rPr>
          <w:rFonts w:hint="default" w:ascii="Times New Roman" w:hAnsi="Times New Roman" w:eastAsia="仿宋_GB2312" w:cs="Times New Roman"/>
          <w:sz w:val="32"/>
          <w:szCs w:val="32"/>
          <w:lang w:val="en-US" w:eastAsia="zh-CN"/>
        </w:rPr>
        <w:t>各地要根据国家关于生殖健康咨询师考试工作方案，积极转变工作作风，认真梳理考试流程，细化考试环节要求，及时做好本地区考生考前知识、纪律及相关事项的培训工作，切实减轻基层考生负担，确保考试顺利进行。</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CC0BF"/>
    <w:multiLevelType w:val="singleLevel"/>
    <w:tmpl w:val="4A5CC0B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D1A48"/>
    <w:rsid w:val="21BD1A48"/>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2019-07-29T00:53:00Z</dcterms:created>
  <dc:creator>华</dc:creator>
  <cp:lastModifiedBy>华</cp:lastModifiedBy>
  <dcterms:modified xsi:type="dcterms:W3CDTF">2019-07-29T00:57:20Z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