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napToGrid w:val="0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44"/>
          <w:szCs w:val="32"/>
          <w:lang w:val="en-US" w:eastAsia="zh-CN"/>
        </w:rPr>
        <w:t>广东省县域医共体建设工作进展情况表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napToGrid w:val="0"/>
          <w:kern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pacing w:val="-20"/>
          <w:sz w:val="32"/>
          <w:szCs w:val="32"/>
        </w:rPr>
      </w:pPr>
      <w:r>
        <w:rPr>
          <w:rFonts w:hint="eastAsia" w:ascii="宋体" w:hAnsi="宋体" w:cs="宋体"/>
          <w:spacing w:val="-2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eastAsia="zh-CN"/>
        </w:rPr>
        <w:t>县（市、区）卫生健康局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 w:color="auto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填报时间：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日 </w:t>
      </w:r>
    </w:p>
    <w:tbl>
      <w:tblPr>
        <w:tblStyle w:val="6"/>
        <w:tblW w:w="1399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07"/>
        <w:gridCol w:w="5637"/>
        <w:gridCol w:w="63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6363" w:type="dxa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进展情况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9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一、体制机制（已落实打“√”，并提供相关佐证文件；未落实打“×”）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服务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①患者有序转诊。建立医共体内部患者双向专项的范围、流程和分配机制。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②打通信息系统。建立医共体内卫生健康信息共享平台，通过远程医疗共享化验和影像设备。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责任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政府主导。成立专门独立的医共体管理负责机构，如委员会等。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②医共体有决策权。建立医共体管理章程及相关会议制度。医共体有内部机构负责人提名权。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③针对医共体有有效的外部考核。对医共体建设发展进行外部考核，并将考核结果与院长的聘任和年薪挂钩。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利益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①医保管理改革。医保优化次均费用考核，建立基于县级医院收治疾病种类和难度进行矫正的动态医保支付。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②财政投入统一管理。基本公共卫生经费依据医共体统一考核结果进行拨付给医共体。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>管理</w:t>
            </w:r>
          </w:p>
        </w:tc>
        <w:tc>
          <w:tcPr>
            <w:tcW w:w="563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①人员有序流转。推动落实医共体内岗位设置、绩效考核、收入分配、职称评聘等自主权。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②财务统一核算。医共体内财务统一核算，完善预算管理。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563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③药品统一管理。医共体内部药品耗材统一管理、统一采购配送、统一支付贷款、统一用药目录等。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二、成员单位基层服务能力提升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9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医共体成员单位乡镇卫生院（社区卫生服务中心）新增开展一级手术</w:t>
            </w:r>
            <w:r>
              <w:rPr>
                <w:rFonts w:hint="default" w:ascii="Times New Roman" w:hAnsi="Times New Roman" w:cs="Times New Roman"/>
                <w:sz w:val="24"/>
                <w:szCs w:val="20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0"/>
                <w:u w:val="none" w:color="auto"/>
                <w:lang w:eastAsia="zh-CN"/>
              </w:rPr>
              <w:t>项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，二级手术</w:t>
            </w:r>
            <w:r>
              <w:rPr>
                <w:rFonts w:hint="default" w:ascii="Times New Roman" w:hAnsi="Times New Roman" w:cs="Times New Roman"/>
                <w:sz w:val="24"/>
                <w:szCs w:val="20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0"/>
                <w:u w:val="none" w:color="auto"/>
                <w:lang w:eastAsia="zh-CN"/>
              </w:rPr>
              <w:t>项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，三级手术</w:t>
            </w:r>
            <w:r>
              <w:rPr>
                <w:rFonts w:hint="default" w:ascii="Times New Roman" w:hAnsi="Times New Roman" w:cs="Times New Roman"/>
                <w:sz w:val="24"/>
                <w:szCs w:val="20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0"/>
                <w:u w:val="none" w:color="auto"/>
                <w:lang w:eastAsia="zh-CN"/>
              </w:rPr>
              <w:t>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医共体成员单位乡镇卫生院（社区卫生服务中心）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  <w:t>具备住院分娩能力的间数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医共体成员单位乡镇卫生院（社区卫生服务中心）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  <w:t>规范设置中医药诊疗服务区的间数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医共体成员单位乡镇卫生院（社区卫生服务中心）新增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  <w:t>特色科室的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  <w:t>数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医共体成员单位乡镇卫生院（社区卫生服务中心）规范设置家庭医生签约服务区、做到医防融合的基层医疗卫生机构间数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9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三、成效（医共体内运行数据）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>县域内住院率(以县（市、区）为单位，政务中心有数据的，以政务中心发布的为准；不在57个县范围，以各自掌握的数据为准。）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>县域内基层医疗卫生机构门急诊人次（含村卫生站）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>县级医院门急诊人次（含县级综合医院、中医院、妇幼保健院）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>县域内基层医疗卫生机构出院人次（含乡镇卫生院、社区卫生服务中心）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5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en-US" w:eastAsia="zh-CN"/>
              </w:rPr>
              <w:t>县级医院出院人次（含县级综合医院、中医院、妇幼保健院）</w:t>
            </w:r>
          </w:p>
        </w:tc>
        <w:tc>
          <w:tcPr>
            <w:tcW w:w="6363" w:type="dxa"/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sz w:val="20"/>
          <w:szCs w:val="18"/>
          <w:lang w:eastAsia="zh-CN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注：本表统计截止时间至各市上报时间。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67A69"/>
    <w:rsid w:val="223B789B"/>
    <w:rsid w:val="66C21D39"/>
    <w:rsid w:val="6CD6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2019-06-12T02:00:00Z</dcterms:created>
  <dc:creator>华</dc:creator>
  <cp:lastModifiedBy>华</cp:lastModifiedBy>
  <dcterms:modified xsi:type="dcterms:W3CDTF">2019-06-12T02:02:00Z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