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ind w:left="640" w:hanging="640" w:hangingChars="200"/>
        <w:jc w:val="left"/>
        <w:rPr>
          <w:rFonts w:hint="default" w:ascii="Times New Roman" w:hAnsi="Times New Roman" w:eastAsia="黑体" w:cs="Times New Roman"/>
          <w:sz w:val="32"/>
          <w:lang w:val="en-US"/>
        </w:rPr>
      </w:pPr>
      <w:bookmarkStart w:id="2" w:name="_GoBack"/>
      <w:r>
        <w:rPr>
          <w:rFonts w:hint="default" w:ascii="Times New Roman" w:hAnsi="Times New Roman" w:eastAsia="黑体" w:cs="Times New Roman"/>
          <w:sz w:val="32"/>
        </w:rPr>
        <w:t>附件</w:t>
      </w:r>
      <w:r>
        <w:rPr>
          <w:rFonts w:hint="default" w:ascii="Times New Roman" w:hAnsi="Times New Roman" w:eastAsia="黑体" w:cs="Times New Roman"/>
          <w:sz w:val="32"/>
          <w:lang w:val="en-US" w:eastAsia="zh-CN"/>
        </w:rPr>
        <w:t>10</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44"/>
        </w:rPr>
      </w:pPr>
      <w:r>
        <w:rPr>
          <w:rFonts w:hint="default" w:ascii="Times New Roman" w:hAnsi="Times New Roman" w:eastAsia="方正小标宋简体" w:cs="Times New Roman"/>
          <w:kern w:val="0"/>
          <w:sz w:val="44"/>
        </w:rPr>
        <w:t>公共场所卫生行政许可告知承诺书</w:t>
      </w:r>
    </w:p>
    <w:p>
      <w:pPr>
        <w:widowControl/>
        <w:snapToGrid w:val="0"/>
        <w:spacing w:line="560" w:lineRule="exact"/>
        <w:jc w:val="center"/>
        <w:rPr>
          <w:rFonts w:hint="default" w:ascii="Times New Roman" w:hAnsi="Times New Roman" w:eastAsia="楷体_GB2312" w:cs="Times New Roman"/>
          <w:kern w:val="0"/>
          <w:sz w:val="28"/>
        </w:rPr>
      </w:pPr>
      <w:r>
        <w:rPr>
          <w:rFonts w:hint="default" w:ascii="Times New Roman" w:hAnsi="Times New Roman" w:eastAsia="楷体_GB2312" w:cs="Times New Roman"/>
          <w:kern w:val="0"/>
          <w:sz w:val="28"/>
        </w:rPr>
        <w:t>（集中空调通风系统）</w:t>
      </w:r>
      <w:bookmarkEnd w:id="2"/>
    </w:p>
    <w:p>
      <w:pPr>
        <w:widowControl/>
        <w:snapToGrid w:val="0"/>
        <w:spacing w:line="560" w:lineRule="exact"/>
        <w:ind w:firstLine="560" w:firstLineChars="200"/>
        <w:jc w:val="right"/>
        <w:rPr>
          <w:rFonts w:hint="default" w:ascii="Times New Roman" w:hAnsi="Times New Roman" w:eastAsia="Times New Roman" w:cs="Times New Roman"/>
          <w:kern w:val="0"/>
          <w:sz w:val="28"/>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承诺人：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（自然人）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姓    名：</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xml:space="preserve">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（法人）</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单位名称：</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法定代表人：</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地址：</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Times New Roman" w:cs="Times New Roman"/>
          <w:kern w:val="0"/>
          <w:sz w:val="28"/>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委托代理人：</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证件类型：</w:t>
      </w:r>
      <w:r>
        <w:rPr>
          <w:rFonts w:hint="default" w:ascii="Times New Roman" w:hAnsi="Times New Roman" w:eastAsia="仿宋_GB2312" w:cs="Times New Roman"/>
          <w:kern w:val="0"/>
          <w:sz w:val="28"/>
          <w:u w:val="single"/>
        </w:rPr>
        <w:t>            </w:t>
      </w:r>
      <w:r>
        <w:rPr>
          <w:rFonts w:hint="default" w:ascii="Times New Roman" w:hAnsi="Times New Roman" w:eastAsia="仿宋_GB2312" w:cs="Times New Roman"/>
          <w:kern w:val="0"/>
          <w:sz w:val="28"/>
        </w:rPr>
        <w:t>编号：</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联系方式：</w:t>
      </w:r>
      <w:r>
        <w:rPr>
          <w:rFonts w:hint="default" w:ascii="Times New Roman" w:hAnsi="Times New Roman" w:eastAsia="仿宋_GB2312" w:cs="Times New Roman"/>
          <w:kern w:val="0"/>
          <w:sz w:val="28"/>
          <w:u w:val="single"/>
        </w:rPr>
        <w:t>                      </w:t>
      </w:r>
    </w:p>
    <w:p>
      <w:pPr>
        <w:widowControl/>
        <w:snapToGrid w:val="0"/>
        <w:spacing w:line="560" w:lineRule="exact"/>
        <w:ind w:firstLine="560" w:firstLineChars="200"/>
        <w:rPr>
          <w:rFonts w:hint="default" w:ascii="Times New Roman" w:hAnsi="Times New Roman" w:eastAsia="Times New Roman" w:cs="Times New Roman"/>
          <w:kern w:val="0"/>
          <w:sz w:val="28"/>
        </w:rPr>
      </w:pPr>
    </w:p>
    <w:p>
      <w:pPr>
        <w:widowControl/>
        <w:snapToGrid w:val="0"/>
        <w:spacing w:line="560" w:lineRule="exact"/>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行政机关：</w:t>
      </w:r>
      <w:r>
        <w:rPr>
          <w:rFonts w:hint="default" w:ascii="Times New Roman" w:hAnsi="Times New Roman" w:eastAsia="黑体" w:cs="Times New Roman"/>
          <w:kern w:val="0"/>
          <w:sz w:val="28"/>
          <w:u w:val="single"/>
        </w:rPr>
        <w:t>            </w:t>
      </w:r>
    </w:p>
    <w:p>
      <w:pPr>
        <w:widowControl/>
        <w:snapToGrid w:val="0"/>
        <w:spacing w:line="560" w:lineRule="exact"/>
        <w:ind w:firstLine="560" w:firstLineChars="200"/>
        <w:rPr>
          <w:rFonts w:hint="default" w:ascii="Times New Roman" w:hAnsi="Times New Roman" w:eastAsia="仿宋_GB2312" w:cs="Times New Roman"/>
          <w:kern w:val="0"/>
          <w:sz w:val="28"/>
        </w:rPr>
      </w:pPr>
    </w:p>
    <w:p>
      <w:pPr>
        <w:widowControl/>
        <w:snapToGrid w:val="0"/>
        <w:spacing w:line="560" w:lineRule="exact"/>
        <w:ind w:firstLine="560" w:firstLineChars="200"/>
        <w:rPr>
          <w:rFonts w:hint="default" w:ascii="Times New Roman" w:hAnsi="Times New Roman" w:eastAsia="仿宋_GB2312" w:cs="Times New Roman"/>
          <w:kern w:val="0"/>
          <w:sz w:val="28"/>
        </w:rPr>
      </w:pPr>
    </w:p>
    <w:p>
      <w:pPr>
        <w:widowControl/>
        <w:snapToGrid w:val="0"/>
        <w:spacing w:line="560" w:lineRule="exact"/>
        <w:ind w:firstLine="420" w:firstLineChars="200"/>
        <w:jc w:val="center"/>
        <w:rPr>
          <w:rFonts w:hint="default" w:ascii="Times New Roman" w:hAnsi="Times New Roman" w:eastAsia="仿宋_GB2312" w:cs="Times New Roman"/>
          <w:kern w:val="0"/>
          <w:sz w:val="28"/>
        </w:rPr>
      </w:pPr>
      <w:r>
        <w:rPr>
          <w:rFonts w:hint="default" w:ascii="Times New Roman" w:hAnsi="Times New Roman" w:eastAsia="黑体" w:cs="Times New Roman"/>
          <w:kern w:val="0"/>
          <w:sz w:val="21"/>
          <w:szCs w:val="21"/>
          <w:lang w:val="en-US" w:eastAsia="zh-CN"/>
        </w:rPr>
        <w:t>广东省卫生健康委制定</w:t>
      </w:r>
    </w:p>
    <w:p>
      <w:pPr>
        <w:snapToGrid w:val="0"/>
        <w:spacing w:line="460" w:lineRule="exact"/>
        <w:jc w:val="center"/>
        <w:rPr>
          <w:rFonts w:hint="default" w:ascii="Times New Roman" w:hAnsi="Times New Roman" w:eastAsia="黑体" w:cs="Times New Roman"/>
          <w:kern w:val="0"/>
          <w:sz w:val="32"/>
        </w:rPr>
      </w:pPr>
      <w:r>
        <w:rPr>
          <w:rFonts w:hint="default" w:ascii="Times New Roman" w:hAnsi="Times New Roman" w:eastAsia="黑体" w:cs="Times New Roman"/>
          <w:kern w:val="0"/>
          <w:sz w:val="32"/>
        </w:rPr>
        <w:t>集中空调通风系统卫生告知书</w:t>
      </w:r>
    </w:p>
    <w:p>
      <w:pPr>
        <w:snapToGrid w:val="0"/>
        <w:spacing w:line="460" w:lineRule="exact"/>
        <w:jc w:val="center"/>
        <w:rPr>
          <w:rFonts w:hint="default" w:ascii="Times New Roman" w:hAnsi="Times New Roman" w:eastAsia="Times New Roman" w:cs="Times New Roman"/>
          <w:kern w:val="0"/>
          <w:sz w:val="28"/>
        </w:rPr>
      </w:pP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按照《广东省卫生健康委关于全面推开公共场所卫生许可告知承诺制工作的通知》，本行政审批机关就行政审批事项告知如下：</w:t>
      </w:r>
    </w:p>
    <w:p>
      <w:pPr>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一、依据</w:t>
      </w:r>
    </w:p>
    <w:p>
      <w:pPr>
        <w:ind w:firstLine="560" w:firstLineChars="200"/>
        <w:rPr>
          <w:rFonts w:hint="default" w:ascii="Times New Roman" w:hAnsi="Times New Roman" w:eastAsia="仿宋_GB2312" w:cs="Times New Roman"/>
          <w:kern w:val="0"/>
          <w:sz w:val="28"/>
        </w:rPr>
      </w:pPr>
      <w:r>
        <w:rPr>
          <w:rFonts w:hint="eastAsia" w:ascii="仿宋_GB2312" w:hAnsi="仿宋_GB2312" w:eastAsia="仿宋_GB2312" w:cs="Times New Roman"/>
          <w:kern w:val="0"/>
          <w:sz w:val="28"/>
        </w:rPr>
        <w:t>1</w:t>
      </w:r>
      <w:r>
        <w:rPr>
          <w:rFonts w:hint="eastAsia" w:ascii="仿宋_GB2312" w:hAnsi="仿宋_GB2312" w:cs="Times New Roman"/>
          <w:kern w:val="0"/>
          <w:sz w:val="28"/>
          <w:lang w:val="en-US" w:eastAsia="zh-CN"/>
        </w:rPr>
        <w:t>.</w:t>
      </w:r>
      <w:r>
        <w:rPr>
          <w:rFonts w:hint="default" w:ascii="Times New Roman" w:hAnsi="Times New Roman" w:eastAsia="仿宋_GB2312" w:cs="Times New Roman"/>
          <w:kern w:val="0"/>
          <w:sz w:val="28"/>
        </w:rPr>
        <w:t>《公共场所卫生管理条例》第三条规定，公共场所的下列项目应符合国家卫生标准和要求：空气、微小气候（湿度、温度、风速）；水质；采光、照明；噪音；顾客用具和卫生设施。公共场所的卫生标准和要求，由卫生部负责制定。</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2.《公共场所卫生管理条例实施细则》第十一条规定：公共场所经营者应当保持公共场所空气流通，室内空气质量应当符合国家卫生标准和要求。公共场所采用集中空调通风系统的，应当符合公共场所集中空调通风系统相关卫生规范和规定的要求。</w:t>
      </w:r>
    </w:p>
    <w:p>
      <w:pPr>
        <w:ind w:firstLine="560" w:firstLineChars="200"/>
        <w:rPr>
          <w:rFonts w:hint="default" w:ascii="Times New Roman" w:hAnsi="Times New Roman" w:eastAsia="黑体" w:cs="Times New Roman"/>
          <w:kern w:val="0"/>
          <w:sz w:val="28"/>
        </w:rPr>
      </w:pPr>
      <w:r>
        <w:rPr>
          <w:rFonts w:hint="default" w:ascii="Times New Roman" w:hAnsi="Times New Roman" w:eastAsia="黑体" w:cs="Times New Roman"/>
          <w:kern w:val="0"/>
          <w:sz w:val="28"/>
        </w:rPr>
        <w:t>二、卫生条件、标准和要求</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w:t>
      </w:r>
      <w:r>
        <w:rPr>
          <w:rFonts w:hint="eastAsia" w:ascii="Times New Roman" w:hAnsi="Times New Roman" w:cs="Times New Roman"/>
          <w:kern w:val="0"/>
          <w:sz w:val="28"/>
          <w:lang w:val="en-US" w:eastAsia="zh-CN"/>
        </w:rPr>
        <w:t xml:space="preserve">. </w:t>
      </w:r>
      <w:r>
        <w:rPr>
          <w:rFonts w:hint="default" w:ascii="Times New Roman" w:hAnsi="Times New Roman" w:eastAsia="仿宋_GB2312" w:cs="Times New Roman"/>
          <w:kern w:val="0"/>
          <w:sz w:val="28"/>
        </w:rPr>
        <w:t>室内环境设计参数</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1.1 设置集中空调通风系统的公共场所，其室内温度、相对湿度、风速应满足公共场所卫生标准（GB 9663～GB 9672）的要求。</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1.2 除公共场所外，其余设置集中空调通风系统的场所其室内温度、相对湿度、风速设计参数应满足《室内空气质量标准》（GB/T 18883）的要求。</w:t>
      </w:r>
    </w:p>
    <w:p>
      <w:pPr>
        <w:ind w:firstLine="560" w:firstLineChars="200"/>
        <w:rPr>
          <w:rFonts w:hint="default" w:ascii="Times New Roman" w:hAnsi="Times New Roman" w:eastAsia="仿宋_GB2312" w:cs="Times New Roman"/>
          <w:kern w:val="0"/>
          <w:sz w:val="28"/>
        </w:rPr>
      </w:pPr>
      <w:r>
        <w:rPr>
          <w:rFonts w:hint="default" w:ascii="Times New Roman" w:hAnsi="Times New Roman" w:eastAsia="仿宋_GB2312" w:cs="Times New Roman"/>
          <w:kern w:val="0"/>
          <w:sz w:val="28"/>
        </w:rPr>
        <w:t>1.3 设置集中空调通风系统的场所其室内新风量设计参数应满足表1的要求。</w:t>
      </w:r>
    </w:p>
    <w:p>
      <w:pPr>
        <w:pStyle w:val="4"/>
        <w:tabs>
          <w:tab w:val="left" w:pos="315"/>
          <w:tab w:val="left" w:pos="420"/>
        </w:tabs>
        <w:ind w:left="-110" w:leftChars="-100" w:hanging="210" w:hangingChars="100"/>
        <w:rPr>
          <w:rFonts w:hint="default" w:ascii="Times New Roman" w:hAnsi="Times New Roman" w:eastAsia="宋体" w:cs="Times New Roman"/>
        </w:rPr>
      </w:pPr>
      <w:r>
        <w:rPr>
          <w:rFonts w:hint="default" w:ascii="Times New Roman" w:hAnsi="Times New Roman" w:eastAsia="宋体" w:cs="Times New Roman"/>
          <w:lang w:eastAsia="zh-CN"/>
        </w:rPr>
        <w:t>新风量要求</w:t>
      </w:r>
    </w:p>
    <w:tbl>
      <w:tblPr>
        <w:tblStyle w:val="3"/>
        <w:tblW w:w="9144" w:type="dxa"/>
        <w:jc w:val="center"/>
        <w:tblInd w:w="12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033"/>
        <w:gridCol w:w="311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6033" w:type="dxa"/>
            <w:tcBorders>
              <w:top w:val="single" w:color="auto" w:sz="12" w:space="0"/>
              <w:left w:val="single" w:color="auto" w:sz="12" w:space="0"/>
              <w:bottom w:val="single" w:color="auto" w:sz="8" w:space="0"/>
              <w:right w:val="single" w:color="auto" w:sz="8" w:space="0"/>
            </w:tcBorders>
            <w:vAlign w:val="center"/>
          </w:tcPr>
          <w:p>
            <w:pPr>
              <w:pStyle w:val="6"/>
              <w:tabs>
                <w:tab w:val="left" w:pos="315"/>
                <w:tab w:val="left" w:pos="420"/>
              </w:tabs>
              <w:ind w:firstLine="0"/>
              <w:jc w:val="center"/>
              <w:rPr>
                <w:rFonts w:hint="default" w:ascii="Times New Roman" w:hAnsi="Times New Roman" w:eastAsia="宋体" w:cs="Times New Roman"/>
                <w:sz w:val="18"/>
                <w:lang w:eastAsia="zh-CN"/>
              </w:rPr>
            </w:pPr>
            <w:r>
              <w:rPr>
                <w:rFonts w:hint="default" w:ascii="Times New Roman" w:hAnsi="Times New Roman" w:cs="Times New Roman"/>
                <w:sz w:val="18"/>
                <w:lang w:eastAsia="zh-CN"/>
              </w:rPr>
              <w:t>场所名称</w:t>
            </w:r>
          </w:p>
        </w:tc>
        <w:tc>
          <w:tcPr>
            <w:tcW w:w="3111" w:type="dxa"/>
            <w:tcBorders>
              <w:top w:val="single" w:color="auto" w:sz="12" w:space="0"/>
              <w:left w:val="single" w:color="auto" w:sz="8" w:space="0"/>
              <w:bottom w:val="single" w:color="auto" w:sz="8" w:space="0"/>
              <w:right w:val="single" w:color="auto" w:sz="12" w:space="0"/>
            </w:tcBorders>
            <w:vAlign w:val="center"/>
          </w:tcPr>
          <w:p>
            <w:pPr>
              <w:pStyle w:val="6"/>
              <w:tabs>
                <w:tab w:val="left" w:pos="315"/>
                <w:tab w:val="left" w:pos="420"/>
              </w:tabs>
              <w:ind w:firstLine="0"/>
              <w:jc w:val="center"/>
              <w:rPr>
                <w:rFonts w:hint="default" w:ascii="Times New Roman" w:hAnsi="Times New Roman" w:eastAsia="Times New Roman" w:cs="Times New Roman"/>
                <w:sz w:val="18"/>
              </w:rPr>
            </w:pPr>
            <w:r>
              <w:rPr>
                <w:rFonts w:hint="default" w:ascii="Times New Roman" w:hAnsi="Times New Roman" w:cs="Times New Roman"/>
                <w:sz w:val="18"/>
              </w:rPr>
              <w:t xml:space="preserve">新风量（m </w:t>
            </w:r>
            <w:r>
              <w:rPr>
                <w:rFonts w:hint="default" w:ascii="Times New Roman" w:hAnsi="Times New Roman" w:cs="Times New Roman"/>
                <w:sz w:val="18"/>
                <w:vertAlign w:val="superscript"/>
              </w:rPr>
              <w:t>3</w:t>
            </w:r>
            <w:r>
              <w:rPr>
                <w:rFonts w:hint="default" w:ascii="Times New Roman" w:hAnsi="Times New Roman" w:cs="Times New Roman"/>
                <w:sz w:val="18"/>
              </w:rPr>
              <w:t>/h·人）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6033" w:type="dxa"/>
            <w:tcBorders>
              <w:top w:val="single" w:color="auto" w:sz="8" w:space="0"/>
              <w:left w:val="single" w:color="auto" w:sz="12" w:space="0"/>
              <w:bottom w:val="single" w:color="auto" w:sz="8" w:space="0"/>
              <w:right w:val="single" w:color="auto" w:sz="8" w:space="0"/>
            </w:tcBorders>
            <w:vAlign w:val="center"/>
          </w:tcPr>
          <w:p>
            <w:pPr>
              <w:pStyle w:val="6"/>
              <w:tabs>
                <w:tab w:val="left" w:pos="315"/>
                <w:tab w:val="left" w:pos="420"/>
              </w:tabs>
              <w:ind w:firstLine="0"/>
              <w:jc w:val="left"/>
              <w:rPr>
                <w:rFonts w:hint="default" w:ascii="Times New Roman" w:hAnsi="Times New Roman" w:eastAsia="宋体" w:cs="Times New Roman"/>
                <w:sz w:val="18"/>
                <w:lang w:eastAsia="zh-CN"/>
              </w:rPr>
            </w:pPr>
            <w:r>
              <w:rPr>
                <w:rFonts w:hint="default" w:ascii="Times New Roman" w:hAnsi="Times New Roman" w:cs="Times New Roman"/>
                <w:sz w:val="18"/>
                <w:lang w:eastAsia="zh-CN"/>
              </w:rPr>
              <w:t>宾馆、旅店、招待所、理发店、美容店、游泳场（馆）、博物馆、美术馆、图书馆、游艺厅（室）、歌舞厅等</w:t>
            </w:r>
          </w:p>
        </w:tc>
        <w:tc>
          <w:tcPr>
            <w:tcW w:w="3111" w:type="dxa"/>
            <w:tcBorders>
              <w:top w:val="single" w:color="auto" w:sz="8" w:space="0"/>
              <w:left w:val="single" w:color="auto" w:sz="8" w:space="0"/>
              <w:bottom w:val="single" w:color="auto" w:sz="8" w:space="0"/>
              <w:right w:val="single" w:color="auto" w:sz="12" w:space="0"/>
            </w:tcBorders>
            <w:vAlign w:val="center"/>
          </w:tcPr>
          <w:p>
            <w:pPr>
              <w:pStyle w:val="6"/>
              <w:tabs>
                <w:tab w:val="left" w:pos="315"/>
                <w:tab w:val="left" w:pos="420"/>
              </w:tabs>
              <w:ind w:firstLine="0"/>
              <w:jc w:val="center"/>
              <w:rPr>
                <w:rFonts w:hint="default" w:ascii="Times New Roman" w:hAnsi="Times New Roman" w:eastAsia="Times New Roman" w:cs="Times New Roman"/>
                <w:sz w:val="18"/>
              </w:rPr>
            </w:pPr>
            <w:r>
              <w:rPr>
                <w:rFonts w:hint="default" w:ascii="Times New Roman" w:hAnsi="Times New Roman" w:cs="Times New Roman"/>
                <w:sz w:val="18"/>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atLeast"/>
          <w:jc w:val="center"/>
        </w:trPr>
        <w:tc>
          <w:tcPr>
            <w:tcW w:w="6033" w:type="dxa"/>
            <w:tcBorders>
              <w:top w:val="single" w:color="auto" w:sz="8" w:space="0"/>
              <w:left w:val="single" w:color="auto" w:sz="12" w:space="0"/>
              <w:bottom w:val="single" w:color="auto" w:sz="8" w:space="0"/>
              <w:right w:val="single" w:color="auto" w:sz="8" w:space="0"/>
            </w:tcBorders>
            <w:vAlign w:val="center"/>
          </w:tcPr>
          <w:p>
            <w:pPr>
              <w:pStyle w:val="6"/>
              <w:tabs>
                <w:tab w:val="left" w:pos="315"/>
                <w:tab w:val="left" w:pos="420"/>
              </w:tabs>
              <w:ind w:firstLine="0"/>
              <w:jc w:val="left"/>
              <w:rPr>
                <w:rFonts w:hint="default" w:ascii="Times New Roman" w:hAnsi="Times New Roman" w:eastAsia="宋体" w:cs="Times New Roman"/>
                <w:sz w:val="18"/>
                <w:lang w:eastAsia="zh-CN"/>
              </w:rPr>
            </w:pPr>
            <w:r>
              <w:rPr>
                <w:rFonts w:hint="default" w:ascii="Times New Roman" w:hAnsi="Times New Roman" w:cs="Times New Roman"/>
                <w:sz w:val="18"/>
                <w:lang w:eastAsia="zh-CN"/>
              </w:rPr>
              <w:t>影剧院、录像厅（室）、音乐厅、公共浴室、体育场所、展览馆、商场（店）、书店、候车（机、船）室等</w:t>
            </w:r>
          </w:p>
        </w:tc>
        <w:tc>
          <w:tcPr>
            <w:tcW w:w="3111" w:type="dxa"/>
            <w:tcBorders>
              <w:top w:val="single" w:color="auto" w:sz="8" w:space="0"/>
              <w:left w:val="single" w:color="auto" w:sz="8" w:space="0"/>
              <w:bottom w:val="single" w:color="auto" w:sz="8" w:space="0"/>
              <w:right w:val="single" w:color="auto" w:sz="12" w:space="0"/>
            </w:tcBorders>
            <w:vAlign w:val="center"/>
          </w:tcPr>
          <w:p>
            <w:pPr>
              <w:pStyle w:val="6"/>
              <w:tabs>
                <w:tab w:val="left" w:pos="315"/>
                <w:tab w:val="left" w:pos="420"/>
              </w:tabs>
              <w:ind w:firstLine="0"/>
              <w:jc w:val="center"/>
              <w:rPr>
                <w:rFonts w:hint="default" w:ascii="Times New Roman" w:hAnsi="Times New Roman" w:eastAsia="Times New Roman" w:cs="Times New Roman"/>
                <w:sz w:val="18"/>
              </w:rPr>
            </w:pPr>
            <w:r>
              <w:rPr>
                <w:rFonts w:hint="default" w:ascii="Times New Roman" w:hAnsi="Times New Roman" w:cs="Times New Roman"/>
                <w:sz w:val="18"/>
              </w:rPr>
              <w:t>≥</w:t>
            </w:r>
            <w:r>
              <w:rPr>
                <w:rFonts w:hint="default" w:ascii="Times New Roman" w:hAnsi="Times New Roman" w:cs="Times New Roman"/>
                <w:sz w:val="18"/>
                <w:lang w:val="en-US" w:eastAsia="zh-CN"/>
              </w:rPr>
              <w:t>20</w:t>
            </w:r>
          </w:p>
        </w:tc>
      </w:tr>
    </w:tbl>
    <w:p>
      <w:pPr>
        <w:pStyle w:val="7"/>
        <w:keepNext w:val="0"/>
        <w:keepLines w:val="0"/>
        <w:pageBreakBefore w:val="0"/>
        <w:numPr>
          <w:ilvl w:val="2"/>
          <w:numId w:val="0"/>
        </w:numPr>
        <w:tabs>
          <w:tab w:val="left" w:pos="-315"/>
          <w:tab w:val="left" w:pos="420"/>
        </w:tabs>
        <w:kinsoku/>
        <w:wordWrap/>
        <w:overflowPunct/>
        <w:topLinePunct w:val="0"/>
        <w:autoSpaceDE/>
        <w:autoSpaceDN/>
        <w:bidi w:val="0"/>
        <w:adjustRightInd/>
        <w:snapToGrid/>
        <w:spacing w:before="0" w:beforeLines="0" w:after="0" w:afterLines="0" w:line="540" w:lineRule="exact"/>
        <w:ind w:left="0" w:leftChars="0" w:right="0" w:rightChars="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2</w:t>
      </w:r>
      <w:r>
        <w:rPr>
          <w:rFonts w:hint="eastAsia" w:eastAsia="仿宋_GB2312" w:cs="Times New Roman"/>
          <w:sz w:val="28"/>
          <w:lang w:val="en-US" w:eastAsia="zh-CN"/>
        </w:rPr>
        <w:t xml:space="preserve">. </w:t>
      </w:r>
      <w:r>
        <w:rPr>
          <w:rFonts w:hint="default" w:ascii="Times New Roman" w:hAnsi="Times New Roman" w:eastAsia="仿宋_GB2312" w:cs="Times New Roman"/>
          <w:sz w:val="28"/>
        </w:rPr>
        <w:t>卫生设施</w:t>
      </w:r>
    </w:p>
    <w:p>
      <w:pPr>
        <w:pStyle w:val="8"/>
        <w:keepNext w:val="0"/>
        <w:keepLines w:val="0"/>
        <w:pageBreakBefore w:val="0"/>
        <w:numPr>
          <w:ilvl w:val="0"/>
          <w:numId w:val="0"/>
        </w:numPr>
        <w:tabs>
          <w:tab w:val="left" w:pos="-315"/>
          <w:tab w:val="left" w:pos="420"/>
        </w:tabs>
        <w:kinsoku/>
        <w:wordWrap/>
        <w:overflowPunct/>
        <w:topLinePunct w:val="0"/>
        <w:autoSpaceDE/>
        <w:autoSpaceDN/>
        <w:bidi w:val="0"/>
        <w:adjustRightInd/>
        <w:snapToGrid/>
        <w:spacing w:before="0" w:beforeLines="0" w:after="0" w:afterLines="0" w:line="540" w:lineRule="exact"/>
        <w:ind w:left="0" w:leftChars="0" w:right="0" w:rightChars="0" w:firstLine="560" w:firstLineChars="20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集中空调通风系统应配备下列设施：应急关闭回风和新风的装置；控制集中空调通风系统分区域运行的装置；供风管系统清洗、消毒用的可开闭检查孔。</w:t>
      </w:r>
    </w:p>
    <w:p>
      <w:pPr>
        <w:pStyle w:val="7"/>
        <w:keepNext w:val="0"/>
        <w:keepLines w:val="0"/>
        <w:pageBreakBefore w:val="0"/>
        <w:numPr>
          <w:ilvl w:val="2"/>
          <w:numId w:val="0"/>
        </w:numPr>
        <w:tabs>
          <w:tab w:val="left" w:pos="-315"/>
          <w:tab w:val="left" w:pos="420"/>
        </w:tabs>
        <w:kinsoku/>
        <w:wordWrap/>
        <w:overflowPunct/>
        <w:topLinePunct w:val="0"/>
        <w:autoSpaceDE/>
        <w:autoSpaceDN/>
        <w:bidi w:val="0"/>
        <w:adjustRightInd/>
        <w:snapToGrid/>
        <w:spacing w:before="0" w:beforeLines="0" w:after="0" w:afterLines="0" w:line="540" w:lineRule="exact"/>
        <w:ind w:left="0" w:leftChars="0" w:right="0" w:rightChars="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3</w:t>
      </w:r>
      <w:r>
        <w:rPr>
          <w:rFonts w:hint="eastAsia" w:eastAsia="仿宋_GB2312" w:cs="Times New Roman"/>
          <w:sz w:val="28"/>
          <w:lang w:val="en-US" w:eastAsia="zh-CN"/>
        </w:rPr>
        <w:t xml:space="preserve">. </w:t>
      </w:r>
      <w:r>
        <w:rPr>
          <w:rFonts w:hint="default" w:ascii="Times New Roman" w:hAnsi="Times New Roman" w:eastAsia="仿宋_GB2312" w:cs="Times New Roman"/>
          <w:sz w:val="28"/>
        </w:rPr>
        <w:t>新风及新风口</w:t>
      </w:r>
    </w:p>
    <w:p>
      <w:pPr>
        <w:pStyle w:val="9"/>
        <w:keepNext w:val="0"/>
        <w:keepLines w:val="0"/>
        <w:pageBreakBefore w:val="0"/>
        <w:numPr>
          <w:ilvl w:val="0"/>
          <w:numId w:val="0"/>
        </w:numPr>
        <w:tabs>
          <w:tab w:val="left" w:pos="-315"/>
          <w:tab w:val="left" w:pos="0"/>
          <w:tab w:val="left" w:pos="210"/>
        </w:tabs>
        <w:kinsoku/>
        <w:wordWrap/>
        <w:overflowPunct/>
        <w:topLinePunct w:val="0"/>
        <w:autoSpaceDE/>
        <w:autoSpaceDN/>
        <w:bidi w:val="0"/>
        <w:adjustRightInd/>
        <w:snapToGrid/>
        <w:spacing w:before="0" w:beforeLines="0" w:after="0" w:afterLines="0" w:line="540" w:lineRule="exact"/>
        <w:ind w:left="0" w:leftChars="0" w:right="0" w:rightChars="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3.1 集中空调通风系统的新风应通过风管直接采自室外非空气污染区，不应从机房、楼道及天棚吊顶等处间接吸取新风。</w:t>
      </w:r>
    </w:p>
    <w:p>
      <w:pPr>
        <w:pStyle w:val="9"/>
        <w:keepNext w:val="0"/>
        <w:keepLines w:val="0"/>
        <w:pageBreakBefore w:val="0"/>
        <w:numPr>
          <w:ilvl w:val="0"/>
          <w:numId w:val="0"/>
        </w:numPr>
        <w:tabs>
          <w:tab w:val="left" w:pos="0"/>
          <w:tab w:val="left" w:pos="210"/>
        </w:tabs>
        <w:kinsoku/>
        <w:wordWrap/>
        <w:overflowPunct/>
        <w:topLinePunct w:val="0"/>
        <w:autoSpaceDE/>
        <w:autoSpaceDN/>
        <w:bidi w:val="0"/>
        <w:adjustRightInd/>
        <w:snapToGrid/>
        <w:spacing w:before="0" w:beforeLines="0" w:after="0" w:afterLines="0" w:line="540" w:lineRule="exact"/>
        <w:ind w:left="0" w:leftChars="0" w:right="0" w:rightChars="0"/>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3.2 新风口周围应无有毒或危险性气体排放口，同时远离建筑物的排风口、开放式冷却塔和其他污染源，并设置防雨罩或防雨百叶窗等防水配件、耐腐蚀的防护（防虫）网和过滤网。任何情况下新风口（包括自然通风口）与室外污染源最短距离不得小于表2的要求：</w:t>
      </w:r>
    </w:p>
    <w:p>
      <w:pPr>
        <w:pStyle w:val="4"/>
        <w:tabs>
          <w:tab w:val="left" w:pos="315"/>
          <w:tab w:val="left" w:pos="420"/>
        </w:tabs>
        <w:ind w:left="-110" w:leftChars="-100" w:hanging="210" w:hangingChars="100"/>
        <w:rPr>
          <w:rFonts w:hint="default" w:ascii="Times New Roman" w:hAnsi="Times New Roman" w:eastAsia="宋体" w:cs="Times New Roman"/>
        </w:rPr>
      </w:pPr>
      <w:r>
        <w:rPr>
          <w:rFonts w:hint="default" w:ascii="Times New Roman" w:hAnsi="Times New Roman" w:eastAsia="宋体" w:cs="Times New Roman"/>
        </w:rPr>
        <w:t>新风口与污染源最小间隔距离</w:t>
      </w:r>
    </w:p>
    <w:tbl>
      <w:tblPr>
        <w:tblStyle w:val="3"/>
        <w:tblW w:w="9571" w:type="dxa"/>
        <w:jc w:val="center"/>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888"/>
        <w:gridCol w:w="568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374" w:hRule="atLeast"/>
          <w:jc w:val="center"/>
        </w:trPr>
        <w:tc>
          <w:tcPr>
            <w:tcW w:w="3888" w:type="dxa"/>
            <w:tcBorders>
              <w:top w:val="single" w:color="000000" w:sz="12" w:space="0"/>
              <w:left w:val="single" w:color="000000" w:sz="12"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污染源</w:t>
            </w:r>
          </w:p>
        </w:tc>
        <w:tc>
          <w:tcPr>
            <w:tcW w:w="5683" w:type="dxa"/>
            <w:tcBorders>
              <w:top w:val="single" w:color="000000" w:sz="12" w:space="0"/>
              <w:left w:val="single" w:color="000000" w:sz="8" w:space="0"/>
              <w:bottom w:val="single" w:color="000000" w:sz="8"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最小距离（m）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404" w:hRule="atLeast"/>
          <w:jc w:val="center"/>
        </w:trPr>
        <w:tc>
          <w:tcPr>
            <w:tcW w:w="3888" w:type="dxa"/>
            <w:tcBorders>
              <w:top w:val="single" w:color="000000" w:sz="8" w:space="0"/>
              <w:left w:val="single" w:color="000000" w:sz="12"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污染气体排气口</w:t>
            </w:r>
          </w:p>
        </w:tc>
        <w:tc>
          <w:tcPr>
            <w:tcW w:w="5683" w:type="dxa"/>
            <w:tcBorders>
              <w:top w:val="single" w:color="000000" w:sz="8" w:space="0"/>
              <w:left w:val="single" w:color="000000" w:sz="8" w:space="0"/>
              <w:bottom w:val="single" w:color="000000" w:sz="8"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314" w:hRule="atLeast"/>
          <w:jc w:val="center"/>
        </w:trPr>
        <w:tc>
          <w:tcPr>
            <w:tcW w:w="3888" w:type="dxa"/>
            <w:tcBorders>
              <w:top w:val="single" w:color="000000" w:sz="8" w:space="0"/>
              <w:left w:val="single" w:color="000000" w:sz="12"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停车场</w:t>
            </w:r>
          </w:p>
        </w:tc>
        <w:tc>
          <w:tcPr>
            <w:tcW w:w="5683" w:type="dxa"/>
            <w:tcBorders>
              <w:top w:val="single" w:color="000000" w:sz="8" w:space="0"/>
              <w:left w:val="single" w:color="000000" w:sz="8" w:space="0"/>
              <w:bottom w:val="single" w:color="000000" w:sz="8"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329" w:hRule="atLeast"/>
          <w:jc w:val="center"/>
        </w:trPr>
        <w:tc>
          <w:tcPr>
            <w:tcW w:w="3888" w:type="dxa"/>
            <w:tcBorders>
              <w:top w:val="single" w:color="000000" w:sz="8" w:space="0"/>
              <w:left w:val="single" w:color="000000" w:sz="12"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垃圾存储/回收区、大垃圾箱</w:t>
            </w:r>
          </w:p>
        </w:tc>
        <w:tc>
          <w:tcPr>
            <w:tcW w:w="5683" w:type="dxa"/>
            <w:tcBorders>
              <w:top w:val="single" w:color="000000" w:sz="8" w:space="0"/>
              <w:left w:val="single" w:color="000000" w:sz="8" w:space="0"/>
              <w:bottom w:val="single" w:color="000000" w:sz="8"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454" w:hRule="atLeast"/>
          <w:jc w:val="center"/>
        </w:trPr>
        <w:tc>
          <w:tcPr>
            <w:tcW w:w="3888" w:type="dxa"/>
            <w:tcBorders>
              <w:top w:val="single" w:color="000000" w:sz="8" w:space="0"/>
              <w:left w:val="single" w:color="000000" w:sz="12"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冷却塔进气口</w:t>
            </w:r>
          </w:p>
        </w:tc>
        <w:tc>
          <w:tcPr>
            <w:tcW w:w="5683" w:type="dxa"/>
            <w:tcBorders>
              <w:top w:val="single" w:color="000000" w:sz="8" w:space="0"/>
              <w:left w:val="single" w:color="000000" w:sz="8" w:space="0"/>
              <w:bottom w:val="single" w:color="000000" w:sz="8"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454" w:hRule="atLeast"/>
          <w:jc w:val="center"/>
        </w:trPr>
        <w:tc>
          <w:tcPr>
            <w:tcW w:w="3888" w:type="dxa"/>
            <w:tcBorders>
              <w:top w:val="single" w:color="000000" w:sz="8" w:space="0"/>
              <w:left w:val="single" w:color="000000" w:sz="12" w:space="0"/>
              <w:bottom w:val="single" w:color="000000" w:sz="12"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冷却塔排气口</w:t>
            </w:r>
          </w:p>
        </w:tc>
        <w:tc>
          <w:tcPr>
            <w:tcW w:w="5683" w:type="dxa"/>
            <w:tcBorders>
              <w:top w:val="single" w:color="000000" w:sz="8" w:space="0"/>
              <w:left w:val="single" w:color="000000" w:sz="8"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center"/>
              <w:textAlignment w:val="auto"/>
              <w:outlineLvl w:val="9"/>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7.5</w:t>
            </w:r>
          </w:p>
        </w:tc>
      </w:tr>
    </w:tbl>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3.3 新风口应低于排风口。</w:t>
      </w:r>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3.4 新风口应避免设置在开放式冷却塔夏季最大频率风向的下风侧。</w:t>
      </w:r>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3.5 新风进风口下缘距室外地坪不宜小于2米，当设在绿化地带时不宜小于1米。</w:t>
      </w:r>
    </w:p>
    <w:p>
      <w:pPr>
        <w:pStyle w:val="7"/>
        <w:keepNext w:val="0"/>
        <w:keepLines w:val="0"/>
        <w:pageBreakBefore w:val="0"/>
        <w:widowControl/>
        <w:numPr>
          <w:ilvl w:val="2"/>
          <w:numId w:val="0"/>
        </w:numPr>
        <w:tabs>
          <w:tab w:val="left" w:pos="315"/>
          <w:tab w:val="left" w:pos="42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4</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送风口和回风口</w:t>
      </w:r>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4.1 回风口及吊装式空气处理机不得设于产生异味、粉尘、油烟的位置上方。</w:t>
      </w:r>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4.2 集中空调通风系统送风口和回风口宜设置防鼠装置。</w:t>
      </w:r>
    </w:p>
    <w:p>
      <w:pPr>
        <w:pStyle w:val="7"/>
        <w:keepNext w:val="0"/>
        <w:keepLines w:val="0"/>
        <w:pageBreakBefore w:val="0"/>
        <w:widowControl/>
        <w:numPr>
          <w:ilvl w:val="2"/>
          <w:numId w:val="0"/>
        </w:numPr>
        <w:tabs>
          <w:tab w:val="left" w:pos="315"/>
          <w:tab w:val="left" w:pos="42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5</w:t>
      </w:r>
      <w:r>
        <w:rPr>
          <w:rFonts w:hint="eastAsia" w:eastAsia="仿宋_GB2312" w:cs="Times New Roman"/>
          <w:sz w:val="28"/>
          <w:lang w:val="en-US" w:eastAsia="zh-CN"/>
        </w:rPr>
        <w:t xml:space="preserve">. </w:t>
      </w:r>
      <w:r>
        <w:rPr>
          <w:rFonts w:hint="default" w:ascii="Times New Roman" w:hAnsi="Times New Roman" w:eastAsia="仿宋_GB2312" w:cs="Times New Roman"/>
          <w:sz w:val="28"/>
        </w:rPr>
        <w:t>有特殊洁净要求的集中空调通风系统应独立设置。</w:t>
      </w:r>
    </w:p>
    <w:p>
      <w:pPr>
        <w:pStyle w:val="7"/>
        <w:keepNext w:val="0"/>
        <w:keepLines w:val="0"/>
        <w:pageBreakBefore w:val="0"/>
        <w:widowControl/>
        <w:numPr>
          <w:ilvl w:val="2"/>
          <w:numId w:val="0"/>
        </w:numPr>
        <w:tabs>
          <w:tab w:val="left" w:pos="315"/>
          <w:tab w:val="left" w:pos="42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6</w:t>
      </w:r>
      <w:r>
        <w:rPr>
          <w:rFonts w:hint="eastAsia" w:eastAsia="仿宋_GB2312" w:cs="Times New Roman"/>
          <w:sz w:val="28"/>
          <w:lang w:val="en-US" w:eastAsia="zh-CN"/>
        </w:rPr>
        <w:t xml:space="preserve">. </w:t>
      </w:r>
      <w:r>
        <w:rPr>
          <w:rFonts w:hint="default" w:ascii="Times New Roman" w:hAnsi="Times New Roman" w:eastAsia="仿宋_GB2312" w:cs="Times New Roman"/>
          <w:sz w:val="28"/>
        </w:rPr>
        <w:t>排放有毒有害物的排风系统不得与集中空调通风系统相连通。</w:t>
      </w:r>
    </w:p>
    <w:p>
      <w:pPr>
        <w:pStyle w:val="7"/>
        <w:keepNext w:val="0"/>
        <w:keepLines w:val="0"/>
        <w:pageBreakBefore w:val="0"/>
        <w:widowControl/>
        <w:numPr>
          <w:ilvl w:val="2"/>
          <w:numId w:val="0"/>
        </w:numPr>
        <w:tabs>
          <w:tab w:val="left" w:pos="315"/>
          <w:tab w:val="left" w:pos="42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7</w:t>
      </w:r>
      <w:r>
        <w:rPr>
          <w:rFonts w:hint="eastAsia" w:eastAsia="仿宋_GB2312" w:cs="Times New Roman"/>
          <w:sz w:val="28"/>
          <w:lang w:val="en-US" w:eastAsia="zh-CN"/>
        </w:rPr>
        <w:t xml:space="preserve">. </w:t>
      </w:r>
      <w:r>
        <w:rPr>
          <w:rFonts w:hint="default" w:ascii="Times New Roman" w:hAnsi="Times New Roman" w:eastAsia="仿宋_GB2312" w:cs="Times New Roman"/>
          <w:sz w:val="28"/>
        </w:rPr>
        <w:t>冷凝水系统</w:t>
      </w:r>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7.1 冷凝水排水管道不得与污水、废水、室内密闭雨水系统直接连接。</w:t>
      </w:r>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7.2 新风处理机组和空气处理机组冷凝水盘出水口应设置水封。</w:t>
      </w:r>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7.3 冷凝水管道应采取防凝露措施。</w:t>
      </w:r>
    </w:p>
    <w:p>
      <w:pPr>
        <w:pStyle w:val="7"/>
        <w:keepNext w:val="0"/>
        <w:keepLines w:val="0"/>
        <w:pageBreakBefore w:val="0"/>
        <w:widowControl/>
        <w:numPr>
          <w:ilvl w:val="2"/>
          <w:numId w:val="0"/>
        </w:numPr>
        <w:tabs>
          <w:tab w:val="left" w:pos="315"/>
          <w:tab w:val="left" w:pos="42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8</w:t>
      </w:r>
      <w:r>
        <w:rPr>
          <w:rFonts w:hint="eastAsia" w:eastAsia="仿宋_GB2312" w:cs="Times New Roman"/>
          <w:sz w:val="28"/>
          <w:lang w:val="en-US" w:eastAsia="zh-CN"/>
        </w:rPr>
        <w:t xml:space="preserve">. </w:t>
      </w:r>
      <w:r>
        <w:rPr>
          <w:rFonts w:hint="default" w:ascii="Times New Roman" w:hAnsi="Times New Roman" w:eastAsia="仿宋_GB2312" w:cs="Times New Roman"/>
          <w:sz w:val="28"/>
        </w:rPr>
        <w:t>冷却水系统</w:t>
      </w:r>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bookmarkStart w:id="0" w:name="_Toc162680545"/>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8.1 开放式冷却塔的设置应远离</w:t>
      </w:r>
      <w:bookmarkEnd w:id="0"/>
      <w:r>
        <w:rPr>
          <w:rFonts w:hint="default" w:ascii="Times New Roman" w:hAnsi="Times New Roman" w:eastAsia="仿宋_GB2312" w:cs="Times New Roman"/>
          <w:sz w:val="28"/>
        </w:rPr>
        <w:t>人员聚集区域、建筑物新风取风口或自然通风口，并设置具有持续消毒效果的装置。</w:t>
      </w:r>
      <w:bookmarkStart w:id="1" w:name="_Toc162680546"/>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8.2 开放式冷却塔宜设置有效的除雾器。</w:t>
      </w:r>
    </w:p>
    <w:bookmarkEnd w:id="1"/>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8.3 开放式冷却塔池内侧应平滑，排污口应设在塔池的底部。</w:t>
      </w:r>
    </w:p>
    <w:p>
      <w:pPr>
        <w:pStyle w:val="7"/>
        <w:keepNext w:val="0"/>
        <w:keepLines w:val="0"/>
        <w:pageBreakBefore w:val="0"/>
        <w:widowControl/>
        <w:numPr>
          <w:ilvl w:val="2"/>
          <w:numId w:val="0"/>
        </w:numPr>
        <w:tabs>
          <w:tab w:val="left" w:pos="315"/>
          <w:tab w:val="left" w:pos="42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9</w:t>
      </w:r>
      <w:r>
        <w:rPr>
          <w:rFonts w:hint="eastAsia" w:eastAsia="仿宋_GB2312" w:cs="Times New Roman"/>
          <w:sz w:val="28"/>
          <w:lang w:val="en-US" w:eastAsia="zh-CN"/>
        </w:rPr>
        <w:t xml:space="preserve">. </w:t>
      </w:r>
      <w:r>
        <w:rPr>
          <w:rFonts w:hint="default" w:ascii="Times New Roman" w:hAnsi="Times New Roman" w:eastAsia="仿宋_GB2312" w:cs="Times New Roman"/>
          <w:sz w:val="28"/>
        </w:rPr>
        <w:t>风管</w:t>
      </w:r>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9.1 风管内表面应当易于清洗。</w:t>
      </w:r>
    </w:p>
    <w:p>
      <w:pPr>
        <w:pStyle w:val="9"/>
        <w:keepNext w:val="0"/>
        <w:keepLines w:val="0"/>
        <w:pageBreakBefore w:val="0"/>
        <w:widowControl/>
        <w:numPr>
          <w:ilvl w:val="0"/>
          <w:numId w:val="0"/>
        </w:numPr>
        <w:tabs>
          <w:tab w:val="left" w:pos="315"/>
          <w:tab w:val="left" w:pos="42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9.2 制作风管的材料不得排放有害物质，不得产生适合微生物生长的营养基质。风管宜采用耐腐蚀的金属材料，采用非金属材料制作风管时，必须保证风管的坚固及严密性，具有承受机械清洗设备正常工作冲击的强度。</w:t>
      </w:r>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9.3 新风系统的新风应直接由风管通过送风口送入室内。</w:t>
      </w:r>
    </w:p>
    <w:p>
      <w:pPr>
        <w:pStyle w:val="9"/>
        <w:keepNext w:val="0"/>
        <w:keepLines w:val="0"/>
        <w:pageBreakBefore w:val="0"/>
        <w:widowControl/>
        <w:numPr>
          <w:ilvl w:val="0"/>
          <w:numId w:val="0"/>
        </w:numPr>
        <w:tabs>
          <w:tab w:val="left" w:pos="0"/>
          <w:tab w:val="left" w:pos="21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9.4 风机盘管与空调房间的回风口宜用风管连接，但不应影响到日常清洗与维护。</w:t>
      </w:r>
    </w:p>
    <w:p>
      <w:pPr>
        <w:pStyle w:val="9"/>
        <w:keepNext w:val="0"/>
        <w:keepLines w:val="0"/>
        <w:pageBreakBefore w:val="0"/>
        <w:numPr>
          <w:ilvl w:val="0"/>
          <w:numId w:val="0"/>
        </w:numPr>
        <w:tabs>
          <w:tab w:val="left" w:pos="0"/>
          <w:tab w:val="left" w:pos="210"/>
        </w:tabs>
        <w:kinsoku/>
        <w:wordWrap/>
        <w:overflowPunct/>
        <w:topLinePunct w:val="0"/>
        <w:bidi w:val="0"/>
        <w:adjustRightInd/>
        <w:snapToGrid/>
        <w:spacing w:before="0" w:beforeLines="0" w:after="0" w:afterLines="0" w:line="500" w:lineRule="exact"/>
        <w:ind w:left="0" w:leftChars="0" w:right="0" w:rightChars="0" w:firstLine="0" w:firstLineChars="0"/>
        <w:jc w:val="center"/>
        <w:textAlignment w:val="auto"/>
        <w:rPr>
          <w:rFonts w:hint="default" w:ascii="Times New Roman" w:hAnsi="Times New Roman" w:eastAsia="黑体" w:cs="Times New Roman"/>
          <w:color w:val="000000"/>
          <w:kern w:val="0"/>
          <w:sz w:val="32"/>
        </w:rPr>
      </w:pPr>
      <w:r>
        <w:rPr>
          <w:rFonts w:hint="default" w:ascii="Times New Roman" w:hAnsi="Times New Roman" w:eastAsia="仿宋_GB2312" w:cs="Times New Roman"/>
          <w:sz w:val="28"/>
          <w:lang w:val="en-US" w:eastAsia="zh-CN"/>
        </w:rPr>
        <w:t xml:space="preserve">   </w:t>
      </w:r>
      <w:r>
        <w:rPr>
          <w:rFonts w:hint="default" w:ascii="Times New Roman" w:hAnsi="Times New Roman" w:eastAsia="黑体" w:cs="Times New Roman"/>
          <w:color w:val="000000"/>
          <w:kern w:val="0"/>
          <w:sz w:val="32"/>
        </w:rPr>
        <w:t>申请人的承诺</w:t>
      </w:r>
    </w:p>
    <w:p>
      <w:pPr>
        <w:keepNext w:val="0"/>
        <w:keepLines w:val="0"/>
        <w:pageBreakBefore w:val="0"/>
        <w:kinsoku/>
        <w:wordWrap/>
        <w:overflowPunct/>
        <w:topLinePunct w:val="0"/>
        <w:bidi w:val="0"/>
        <w:adjustRightInd/>
        <w:snapToGrid/>
        <w:spacing w:before="0" w:beforeLines="0" w:after="0" w:afterLines="0" w:line="50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cs="Times New Roman"/>
          <w:color w:val="000000"/>
          <w:kern w:val="0"/>
          <w:sz w:val="28"/>
          <w:lang w:val="en-US" w:eastAsia="zh-CN"/>
        </w:rPr>
        <w:t>申请</w:t>
      </w:r>
      <w:r>
        <w:rPr>
          <w:rFonts w:hint="default" w:ascii="Times New Roman" w:hAnsi="Times New Roman" w:eastAsia="仿宋_GB2312" w:cs="Times New Roman"/>
          <w:color w:val="000000"/>
          <w:kern w:val="0"/>
          <w:sz w:val="28"/>
        </w:rPr>
        <w:t>人就《</w:t>
      </w:r>
      <w:r>
        <w:rPr>
          <w:rFonts w:hint="default" w:ascii="Times New Roman" w:hAnsi="Times New Roman" w:eastAsia="仿宋_GB2312" w:cs="Times New Roman"/>
          <w:kern w:val="0"/>
          <w:sz w:val="28"/>
        </w:rPr>
        <w:t>集中空调通风系统卫生告知书</w:t>
      </w:r>
      <w:r>
        <w:rPr>
          <w:rFonts w:hint="default" w:ascii="Times New Roman" w:hAnsi="Times New Roman" w:eastAsia="仿宋_GB2312" w:cs="Times New Roman"/>
          <w:color w:val="000000"/>
          <w:kern w:val="0"/>
          <w:sz w:val="28"/>
        </w:rPr>
        <w:t>》相关事项作出如下承诺：</w:t>
      </w:r>
    </w:p>
    <w:p>
      <w:pPr>
        <w:keepNext w:val="0"/>
        <w:keepLines w:val="0"/>
        <w:pageBreakBefore w:val="0"/>
        <w:kinsoku/>
        <w:wordWrap/>
        <w:overflowPunct/>
        <w:topLinePunct w:val="0"/>
        <w:bidi w:val="0"/>
        <w:adjustRightInd/>
        <w:snapToGrid/>
        <w:spacing w:before="0" w:beforeLines="0" w:after="0" w:afterLines="0" w:line="50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（一）所填写的信息真实、准确；</w:t>
      </w:r>
    </w:p>
    <w:p>
      <w:pPr>
        <w:keepNext w:val="0"/>
        <w:keepLines w:val="0"/>
        <w:pageBreakBefore w:val="0"/>
        <w:kinsoku/>
        <w:wordWrap/>
        <w:overflowPunct/>
        <w:topLinePunct w:val="0"/>
        <w:bidi w:val="0"/>
        <w:adjustRightInd/>
        <w:snapToGrid/>
        <w:spacing w:before="0" w:beforeLines="0" w:after="0" w:afterLines="0" w:line="50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（二）已经知晓本告知书的全部内容；</w:t>
      </w:r>
    </w:p>
    <w:p>
      <w:pPr>
        <w:keepNext w:val="0"/>
        <w:keepLines w:val="0"/>
        <w:pageBreakBefore w:val="0"/>
        <w:kinsoku/>
        <w:wordWrap/>
        <w:overflowPunct/>
        <w:topLinePunct w:val="0"/>
        <w:bidi w:val="0"/>
        <w:adjustRightInd/>
        <w:snapToGrid/>
        <w:spacing w:before="0" w:beforeLines="0" w:after="0" w:afterLines="0" w:line="50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（三）已达到本告知书的卫生条件、标准和要求；</w:t>
      </w:r>
    </w:p>
    <w:p>
      <w:pPr>
        <w:keepNext w:val="0"/>
        <w:keepLines w:val="0"/>
        <w:pageBreakBefore w:val="0"/>
        <w:kinsoku/>
        <w:wordWrap/>
        <w:overflowPunct/>
        <w:topLinePunct w:val="0"/>
        <w:bidi w:val="0"/>
        <w:adjustRightInd/>
        <w:snapToGrid/>
        <w:spacing w:before="0" w:beforeLines="0" w:after="0" w:afterLines="0" w:line="50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（四）上述陈述是承诺人真实意思的表示；</w:t>
      </w:r>
    </w:p>
    <w:p>
      <w:pPr>
        <w:keepNext w:val="0"/>
        <w:keepLines w:val="0"/>
        <w:pageBreakBefore w:val="0"/>
        <w:kinsoku/>
        <w:wordWrap/>
        <w:overflowPunct/>
        <w:topLinePunct w:val="0"/>
        <w:bidi w:val="0"/>
        <w:adjustRightInd/>
        <w:snapToGrid/>
        <w:spacing w:before="0" w:beforeLines="0" w:after="0" w:afterLines="0" w:line="500" w:lineRule="exact"/>
        <w:ind w:left="0" w:leftChars="0" w:right="0" w:rightChars="0" w:firstLine="560" w:firstLineChars="200"/>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（五）若违反承诺或者作出不实承诺的，愿意承担相应的法律责任。</w:t>
      </w:r>
    </w:p>
    <w:p>
      <w:pPr>
        <w:keepNext w:val="0"/>
        <w:keepLines w:val="0"/>
        <w:pageBreakBefore w:val="0"/>
        <w:shd w:val="clear" w:color="auto" w:fill="FFFFFF"/>
        <w:kinsoku/>
        <w:wordWrap/>
        <w:overflowPunct/>
        <w:topLinePunct w:val="0"/>
        <w:bidi w:val="0"/>
        <w:adjustRightInd/>
        <w:snapToGrid/>
        <w:spacing w:before="0" w:beforeLines="0" w:after="0" w:afterLines="0" w:line="500" w:lineRule="exact"/>
        <w:ind w:left="0" w:leftChars="0" w:right="0" w:rightChars="0"/>
        <w:jc w:val="left"/>
        <w:textAlignment w:val="auto"/>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bidi w:val="0"/>
        <w:adjustRightInd/>
        <w:snapToGrid/>
        <w:spacing w:before="0" w:beforeLines="0" w:after="0" w:afterLines="0" w:line="500" w:lineRule="exact"/>
        <w:ind w:left="0" w:leftChars="0" w:right="0" w:rightChars="0" w:firstLine="280" w:firstLineChars="100"/>
        <w:jc w:val="left"/>
        <w:textAlignment w:val="auto"/>
        <w:rPr>
          <w:rFonts w:hint="default" w:ascii="Times New Roman" w:hAnsi="Times New Roman" w:eastAsia="仿宋_GB2312" w:cs="Times New Roman"/>
          <w:color w:val="000000"/>
          <w:kern w:val="0"/>
          <w:sz w:val="28"/>
        </w:rPr>
      </w:pPr>
      <w:r>
        <w:rPr>
          <w:rFonts w:hint="default" w:ascii="Times New Roman" w:hAnsi="Times New Roman" w:cs="Times New Roman"/>
          <w:color w:val="000000"/>
          <w:kern w:val="0"/>
          <w:sz w:val="28"/>
          <w:lang w:eastAsia="zh-CN"/>
        </w:rPr>
        <w:t>申请</w:t>
      </w:r>
      <w:r>
        <w:rPr>
          <w:rFonts w:hint="default" w:ascii="Times New Roman" w:hAnsi="Times New Roman" w:eastAsia="仿宋_GB2312" w:cs="Times New Roman"/>
          <w:color w:val="000000"/>
          <w:kern w:val="0"/>
          <w:sz w:val="28"/>
        </w:rPr>
        <w:t>人（委托代理人）：         行政机关：</w:t>
      </w:r>
    </w:p>
    <w:p>
      <w:pPr>
        <w:keepNext w:val="0"/>
        <w:keepLines w:val="0"/>
        <w:pageBreakBefore w:val="0"/>
        <w:shd w:val="clear" w:color="auto" w:fill="FFFFFF"/>
        <w:kinsoku/>
        <w:wordWrap/>
        <w:overflowPunct/>
        <w:topLinePunct w:val="0"/>
        <w:bidi w:val="0"/>
        <w:adjustRightInd/>
        <w:snapToGrid/>
        <w:spacing w:before="0" w:beforeLines="0" w:after="0" w:afterLines="0" w:line="500" w:lineRule="exact"/>
        <w:ind w:left="0" w:leftChars="0" w:right="0" w:rightChars="0"/>
        <w:jc w:val="left"/>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w:t>
      </w:r>
    </w:p>
    <w:p>
      <w:pPr>
        <w:keepNext w:val="0"/>
        <w:keepLines w:val="0"/>
        <w:pageBreakBefore w:val="0"/>
        <w:shd w:val="clear" w:color="auto" w:fill="FFFFFF"/>
        <w:kinsoku/>
        <w:wordWrap/>
        <w:overflowPunct/>
        <w:topLinePunct w:val="0"/>
        <w:bidi w:val="0"/>
        <w:adjustRightInd/>
        <w:snapToGrid/>
        <w:spacing w:before="0" w:beforeLines="0" w:after="0" w:afterLines="0" w:line="500" w:lineRule="exact"/>
        <w:ind w:left="0" w:leftChars="0" w:right="0" w:rightChars="0" w:firstLine="700" w:firstLineChars="250"/>
        <w:jc w:val="left"/>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（签字盖章）                          （盖章）  </w:t>
      </w:r>
    </w:p>
    <w:p>
      <w:pPr>
        <w:keepNext w:val="0"/>
        <w:keepLines w:val="0"/>
        <w:pageBreakBefore w:val="0"/>
        <w:shd w:val="clear" w:color="auto" w:fill="FFFFFF"/>
        <w:kinsoku/>
        <w:wordWrap/>
        <w:overflowPunct/>
        <w:topLinePunct w:val="0"/>
        <w:bidi w:val="0"/>
        <w:adjustRightInd/>
        <w:snapToGrid/>
        <w:spacing w:before="0" w:beforeLines="0" w:after="0" w:afterLines="0" w:line="500" w:lineRule="exact"/>
        <w:ind w:left="0" w:leftChars="0" w:right="0" w:rightChars="0"/>
        <w:jc w:val="left"/>
        <w:textAlignment w:val="auto"/>
        <w:rPr>
          <w:rFonts w:hint="default" w:ascii="Times New Roman" w:hAnsi="Times New Roman" w:eastAsia="仿宋_GB2312" w:cs="Times New Roman"/>
          <w:color w:val="000000"/>
          <w:kern w:val="0"/>
          <w:sz w:val="28"/>
        </w:rPr>
      </w:pPr>
    </w:p>
    <w:p>
      <w:pPr>
        <w:keepNext w:val="0"/>
        <w:keepLines w:val="0"/>
        <w:pageBreakBefore w:val="0"/>
        <w:shd w:val="clear" w:color="auto" w:fill="FFFFFF"/>
        <w:kinsoku/>
        <w:wordWrap/>
        <w:overflowPunct/>
        <w:topLinePunct w:val="0"/>
        <w:bidi w:val="0"/>
        <w:adjustRightInd/>
        <w:snapToGrid/>
        <w:spacing w:before="0" w:beforeLines="0" w:after="0" w:afterLines="0" w:line="500" w:lineRule="exact"/>
        <w:ind w:left="560" w:leftChars="0" w:right="0" w:rightChars="0" w:hanging="560" w:hangingChars="200"/>
        <w:jc w:val="left"/>
        <w:textAlignment w:val="auto"/>
        <w:rPr>
          <w:rFonts w:hint="default" w:ascii="Times New Roman" w:hAnsi="Times New Roman" w:eastAsia="仿宋_GB2312" w:cs="Times New Roman"/>
          <w:color w:val="000000"/>
          <w:kern w:val="0"/>
          <w:sz w:val="28"/>
        </w:rPr>
      </w:pPr>
      <w:r>
        <w:rPr>
          <w:rFonts w:hint="default" w:ascii="Times New Roman" w:hAnsi="Times New Roman" w:eastAsia="仿宋_GB2312" w:cs="Times New Roman"/>
          <w:color w:val="000000"/>
          <w:kern w:val="0"/>
          <w:sz w:val="28"/>
        </w:rPr>
        <w:t xml:space="preserve">        年   月   日                          年   月   日  </w:t>
      </w:r>
    </w:p>
    <w:p>
      <w:pPr>
        <w:keepNext w:val="0"/>
        <w:keepLines w:val="0"/>
        <w:pageBreakBefore w:val="0"/>
        <w:shd w:val="clear" w:color="auto" w:fill="FFFFFF"/>
        <w:kinsoku/>
        <w:wordWrap/>
        <w:overflowPunct/>
        <w:topLinePunct w:val="0"/>
        <w:bidi w:val="0"/>
        <w:adjustRightInd/>
        <w:snapToGrid/>
        <w:spacing w:before="0" w:beforeLines="0" w:after="0" w:afterLines="0" w:line="500" w:lineRule="exact"/>
        <w:ind w:left="560" w:leftChars="0" w:right="0" w:rightChars="0" w:hanging="560" w:hangingChars="200"/>
        <w:jc w:val="right"/>
        <w:textAlignment w:val="auto"/>
        <w:rPr>
          <w:rFonts w:hint="default" w:ascii="Times New Roman" w:hAnsi="Times New Roman" w:eastAsia="Times New Roman" w:cs="Times New Roman"/>
        </w:rPr>
      </w:pPr>
      <w:r>
        <w:rPr>
          <w:rFonts w:hint="default" w:ascii="Times New Roman" w:hAnsi="Times New Roman" w:eastAsia="仿宋_GB2312" w:cs="Times New Roman"/>
          <w:color w:val="000000"/>
          <w:kern w:val="0"/>
          <w:sz w:val="28"/>
        </w:rPr>
        <w:t xml:space="preserve">       </w:t>
      </w:r>
      <w:r>
        <w:rPr>
          <w:rFonts w:hint="default" w:ascii="Times New Roman" w:hAnsi="Times New Roman" w:eastAsia="楷体_GB2312" w:cs="Times New Roman"/>
          <w:kern w:val="0"/>
          <w:sz w:val="28"/>
        </w:rPr>
        <w:t>（一式两份）</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pStyle w:val="4"/>
      <w:suff w:val="nothing"/>
      <w:lvlText w:val="表%1　"/>
      <w:lvlJc w:val="left"/>
      <w:pPr>
        <w:ind w:left="3255" w:firstLine="0"/>
      </w:pPr>
      <w:rPr>
        <w:rFonts w:hint="default" w:ascii="黑体" w:hAnsi="Times New Roman" w:eastAsia="黑体"/>
        <w:sz w:val="21"/>
        <w:u w:val="none" w:color="auto"/>
      </w:rPr>
    </w:lvl>
    <w:lvl w:ilvl="1" w:tentative="0">
      <w:start w:val="1"/>
      <w:numFmt w:val="decimal"/>
      <w:lvlText w:val="%1.%2"/>
      <w:lvlJc w:val="left"/>
      <w:pPr>
        <w:tabs>
          <w:tab w:val="left" w:pos="992"/>
        </w:tabs>
        <w:ind w:left="992" w:hanging="567"/>
      </w:pPr>
      <w:rPr>
        <w:rFonts w:hint="default" w:ascii="Times New Roman"/>
        <w:u w:val="none" w:color="auto"/>
      </w:rPr>
    </w:lvl>
    <w:lvl w:ilvl="2" w:tentative="0">
      <w:start w:val="1"/>
      <w:numFmt w:val="decimal"/>
      <w:lvlText w:val="%1.%2.%3"/>
      <w:lvlJc w:val="left"/>
      <w:pPr>
        <w:tabs>
          <w:tab w:val="left" w:pos="1418"/>
        </w:tabs>
        <w:ind w:left="1418" w:hanging="567"/>
      </w:pPr>
      <w:rPr>
        <w:rFonts w:hint="default" w:ascii="Times New Roman"/>
        <w:u w:val="none" w:color="auto"/>
      </w:rPr>
    </w:lvl>
    <w:lvl w:ilvl="3" w:tentative="0">
      <w:start w:val="1"/>
      <w:numFmt w:val="decimal"/>
      <w:lvlText w:val="%1.%2.%3.%4"/>
      <w:lvlJc w:val="left"/>
      <w:pPr>
        <w:tabs>
          <w:tab w:val="left" w:pos="1984"/>
        </w:tabs>
        <w:ind w:left="1984" w:hanging="708"/>
      </w:pPr>
      <w:rPr>
        <w:rFonts w:hint="default" w:ascii="Times New Roman"/>
        <w:u w:val="none" w:color="auto"/>
      </w:rPr>
    </w:lvl>
    <w:lvl w:ilvl="4" w:tentative="0">
      <w:start w:val="1"/>
      <w:numFmt w:val="decimal"/>
      <w:lvlText w:val="%1.%2.%3.%4.%5"/>
      <w:lvlJc w:val="left"/>
      <w:pPr>
        <w:tabs>
          <w:tab w:val="left" w:pos="2551"/>
        </w:tabs>
        <w:ind w:left="2551" w:hanging="850"/>
      </w:pPr>
      <w:rPr>
        <w:rFonts w:hint="default" w:ascii="Times New Roman"/>
        <w:u w:val="none" w:color="auto"/>
      </w:rPr>
    </w:lvl>
    <w:lvl w:ilvl="5" w:tentative="0">
      <w:start w:val="1"/>
      <w:numFmt w:val="decimal"/>
      <w:lvlText w:val="%1.%2.%3.%4.%5.%6"/>
      <w:lvlJc w:val="left"/>
      <w:pPr>
        <w:tabs>
          <w:tab w:val="left" w:pos="3260"/>
        </w:tabs>
        <w:ind w:left="3260" w:hanging="1134"/>
      </w:pPr>
      <w:rPr>
        <w:rFonts w:hint="default" w:ascii="Times New Roman"/>
        <w:u w:val="none" w:color="auto"/>
      </w:rPr>
    </w:lvl>
    <w:lvl w:ilvl="6" w:tentative="0">
      <w:start w:val="1"/>
      <w:numFmt w:val="decimal"/>
      <w:lvlText w:val="%1.%2.%3.%4.%5.%6.%7"/>
      <w:lvlJc w:val="left"/>
      <w:pPr>
        <w:tabs>
          <w:tab w:val="left" w:pos="3827"/>
        </w:tabs>
        <w:ind w:left="3827" w:hanging="1276"/>
      </w:pPr>
      <w:rPr>
        <w:rFonts w:hint="default" w:ascii="Times New Roman"/>
        <w:u w:val="none" w:color="auto"/>
      </w:rPr>
    </w:lvl>
    <w:lvl w:ilvl="7" w:tentative="0">
      <w:start w:val="1"/>
      <w:numFmt w:val="decimal"/>
      <w:lvlText w:val="%1.%2.%3.%4.%5.%6.%7.%8"/>
      <w:lvlJc w:val="left"/>
      <w:pPr>
        <w:tabs>
          <w:tab w:val="left" w:pos="4394"/>
        </w:tabs>
        <w:ind w:left="4394" w:hanging="1418"/>
      </w:pPr>
      <w:rPr>
        <w:rFonts w:hint="default" w:ascii="Times New Roman"/>
        <w:u w:val="none" w:color="auto"/>
      </w:rPr>
    </w:lvl>
    <w:lvl w:ilvl="8" w:tentative="0">
      <w:start w:val="1"/>
      <w:numFmt w:val="decimal"/>
      <w:lvlText w:val="%1.%2.%3.%4.%5.%6.%7.%8.%9"/>
      <w:lvlJc w:val="left"/>
      <w:pPr>
        <w:tabs>
          <w:tab w:val="left" w:pos="5102"/>
        </w:tabs>
        <w:ind w:left="5102" w:hanging="1700"/>
      </w:pPr>
      <w:rPr>
        <w:rFonts w:hint="default" w:ascii="Times New Roman"/>
        <w:u w:val="none" w:color="auto"/>
      </w:rPr>
    </w:lvl>
  </w:abstractNum>
  <w:abstractNum w:abstractNumId="1">
    <w:nsid w:val="00000004"/>
    <w:multiLevelType w:val="multilevel"/>
    <w:tmpl w:val="00000004"/>
    <w:lvl w:ilvl="0" w:tentative="0">
      <w:start w:val="1"/>
      <w:numFmt w:val="none"/>
      <w:suff w:val="nothing"/>
      <w:lvlText w:val="%1"/>
      <w:lvlJc w:val="left"/>
      <w:pPr>
        <w:ind w:left="0" w:firstLine="0"/>
      </w:pPr>
      <w:rPr>
        <w:rFonts w:hint="default" w:ascii="Times New Roman"/>
        <w:b/>
        <w:sz w:val="21"/>
        <w:u w:val="none" w:color="auto"/>
      </w:rPr>
    </w:lvl>
    <w:lvl w:ilvl="1" w:tentative="0">
      <w:start w:val="1"/>
      <w:numFmt w:val="decimal"/>
      <w:suff w:val="nothing"/>
      <w:lvlText w:val="%1%2　"/>
      <w:lvlJc w:val="left"/>
      <w:pPr>
        <w:ind w:left="1277" w:firstLine="0"/>
      </w:pPr>
      <w:rPr>
        <w:rFonts w:hint="default" w:ascii="黑体" w:hAnsi="Times New Roman" w:eastAsia="黑体"/>
        <w:sz w:val="21"/>
        <w:u w:val="none" w:color="auto"/>
      </w:rPr>
    </w:lvl>
    <w:lvl w:ilvl="2" w:tentative="0">
      <w:start w:val="1"/>
      <w:numFmt w:val="decimal"/>
      <w:pStyle w:val="7"/>
      <w:suff w:val="nothing"/>
      <w:lvlText w:val="%1%2.%3　"/>
      <w:lvlJc w:val="left"/>
      <w:pPr>
        <w:ind w:left="0" w:firstLine="0"/>
      </w:pPr>
      <w:rPr>
        <w:rFonts w:hint="default" w:ascii="黑体" w:hAnsi="Times New Roman" w:eastAsia="黑体"/>
        <w:sz w:val="21"/>
        <w:u w:val="none" w:color="auto"/>
      </w:rPr>
    </w:lvl>
    <w:lvl w:ilvl="3" w:tentative="0">
      <w:start w:val="1"/>
      <w:numFmt w:val="decimal"/>
      <w:suff w:val="nothing"/>
      <w:lvlText w:val="%1%2.%3.%4　"/>
      <w:lvlJc w:val="left"/>
      <w:pPr>
        <w:ind w:left="567" w:firstLine="0"/>
      </w:pPr>
      <w:rPr>
        <w:rFonts w:hint="default" w:ascii="黑体" w:hAnsi="Times New Roman" w:eastAsia="黑体"/>
        <w:color w:val="auto"/>
        <w:sz w:val="21"/>
        <w:u w:val="none" w:color="auto"/>
      </w:rPr>
    </w:lvl>
    <w:lvl w:ilvl="4" w:tentative="0">
      <w:start w:val="1"/>
      <w:numFmt w:val="decimal"/>
      <w:suff w:val="nothing"/>
      <w:lvlText w:val="%1%2.%3.%4.%5　"/>
      <w:lvlJc w:val="left"/>
      <w:pPr>
        <w:ind w:left="0" w:firstLine="0"/>
      </w:pPr>
      <w:rPr>
        <w:rFonts w:hint="default" w:ascii="黑体" w:hAnsi="Times New Roman" w:eastAsia="黑体"/>
        <w:sz w:val="21"/>
        <w:u w:val="none" w:color="auto"/>
      </w:rPr>
    </w:lvl>
    <w:lvl w:ilvl="5" w:tentative="0">
      <w:start w:val="1"/>
      <w:numFmt w:val="decimal"/>
      <w:suff w:val="nothing"/>
      <w:lvlText w:val="%1%2.%3.%4.%5.%6　"/>
      <w:lvlJc w:val="left"/>
      <w:pPr>
        <w:ind w:left="0" w:firstLine="0"/>
      </w:pPr>
      <w:rPr>
        <w:rFonts w:hint="default" w:ascii="黑体" w:hAnsi="Times New Roman" w:eastAsia="黑体"/>
        <w:sz w:val="21"/>
        <w:u w:val="none" w:color="auto"/>
      </w:rPr>
    </w:lvl>
    <w:lvl w:ilvl="6" w:tentative="0">
      <w:start w:val="1"/>
      <w:numFmt w:val="decimal"/>
      <w:suff w:val="nothing"/>
      <w:lvlText w:val="%1%2.%3.%4.%5.%6.%7　"/>
      <w:lvlJc w:val="left"/>
      <w:pPr>
        <w:ind w:left="0" w:firstLine="0"/>
      </w:pPr>
      <w:rPr>
        <w:rFonts w:hint="default" w:ascii="黑体" w:hAnsi="Times New Roman" w:eastAsia="黑体"/>
        <w:sz w:val="21"/>
        <w:u w:val="none" w:color="auto"/>
      </w:rPr>
    </w:lvl>
    <w:lvl w:ilvl="7" w:tentative="0">
      <w:start w:val="1"/>
      <w:numFmt w:val="decimal"/>
      <w:lvlText w:val="%1.%2.%3.%4.%5.%6.%7.%8"/>
      <w:lvlJc w:val="left"/>
      <w:pPr>
        <w:tabs>
          <w:tab w:val="left" w:pos="4351"/>
        </w:tabs>
        <w:ind w:left="3969" w:hanging="1418"/>
      </w:pPr>
      <w:rPr>
        <w:rFonts w:hint="default" w:ascii="Times New Roman"/>
        <w:u w:val="none" w:color="auto"/>
      </w:rPr>
    </w:lvl>
    <w:lvl w:ilvl="8" w:tentative="0">
      <w:start w:val="1"/>
      <w:numFmt w:val="decimal"/>
      <w:lvlText w:val="%1.%2.%3.%4.%5.%6.%7.%8.%9"/>
      <w:lvlJc w:val="left"/>
      <w:pPr>
        <w:tabs>
          <w:tab w:val="left" w:pos="4777"/>
        </w:tabs>
        <w:ind w:left="4677" w:hanging="1700"/>
      </w:pPr>
      <w:rPr>
        <w:rFonts w:hint="default" w:ascii="Times New Roman"/>
        <w:u w:val="none" w:color="auto"/>
      </w:rPr>
    </w:lvl>
  </w:abstractNum>
  <w:abstractNum w:abstractNumId="2">
    <w:nsid w:val="00000008"/>
    <w:multiLevelType w:val="multilevel"/>
    <w:tmpl w:val="00000008"/>
    <w:lvl w:ilvl="0" w:tentative="0">
      <w:start w:val="1"/>
      <w:numFmt w:val="none"/>
      <w:pStyle w:val="8"/>
      <w:lvlText w:val="%1——"/>
      <w:lvlJc w:val="left"/>
      <w:pPr>
        <w:tabs>
          <w:tab w:val="left" w:pos="720"/>
        </w:tabs>
        <w:ind w:left="420" w:hanging="420"/>
      </w:pPr>
      <w:rPr>
        <w:rFonts w:hint="default" w:ascii="Times New Roman"/>
        <w:u w:val="none" w:color="auto"/>
      </w:rPr>
    </w:lvl>
    <w:lvl w:ilvl="1" w:tentative="0">
      <w:start w:val="1"/>
      <w:numFmt w:val="decimal"/>
      <w:lvlText w:val="（%2）"/>
      <w:lvlJc w:val="left"/>
      <w:pPr>
        <w:tabs>
          <w:tab w:val="left" w:pos="1140"/>
        </w:tabs>
        <w:ind w:left="1140" w:hanging="720"/>
      </w:pPr>
      <w:rPr>
        <w:rFonts w:hint="default" w:ascii="Times New Roman"/>
        <w:u w:val="none" w:color="auto"/>
      </w:rPr>
    </w:lvl>
    <w:lvl w:ilvl="2" w:tentative="0">
      <w:start w:val="1"/>
      <w:numFmt w:val="lowerRoman"/>
      <w:lvlText w:val="%3."/>
      <w:lvlJc w:val="right"/>
      <w:pPr>
        <w:tabs>
          <w:tab w:val="left" w:pos="1260"/>
        </w:tabs>
        <w:ind w:left="1260" w:hanging="420"/>
      </w:pPr>
      <w:rPr>
        <w:rFonts w:hint="default" w:ascii="Times New Roman"/>
        <w:u w:val="none" w:color="auto"/>
      </w:rPr>
    </w:lvl>
    <w:lvl w:ilvl="3" w:tentative="0">
      <w:start w:val="1"/>
      <w:numFmt w:val="decimal"/>
      <w:lvlText w:val="%4."/>
      <w:lvlJc w:val="left"/>
      <w:pPr>
        <w:tabs>
          <w:tab w:val="left" w:pos="1680"/>
        </w:tabs>
        <w:ind w:left="1680" w:hanging="420"/>
      </w:pPr>
      <w:rPr>
        <w:rFonts w:hint="default" w:ascii="Times New Roman"/>
        <w:u w:val="none" w:color="auto"/>
      </w:rPr>
    </w:lvl>
    <w:lvl w:ilvl="4" w:tentative="0">
      <w:start w:val="1"/>
      <w:numFmt w:val="lowerLetter"/>
      <w:lvlText w:val="%5)"/>
      <w:lvlJc w:val="left"/>
      <w:pPr>
        <w:tabs>
          <w:tab w:val="left" w:pos="2100"/>
        </w:tabs>
        <w:ind w:left="2100" w:hanging="420"/>
      </w:pPr>
      <w:rPr>
        <w:rFonts w:hint="default" w:ascii="Times New Roman"/>
        <w:u w:val="none" w:color="auto"/>
      </w:rPr>
    </w:lvl>
    <w:lvl w:ilvl="5" w:tentative="0">
      <w:start w:val="1"/>
      <w:numFmt w:val="lowerRoman"/>
      <w:lvlText w:val="%6."/>
      <w:lvlJc w:val="right"/>
      <w:pPr>
        <w:tabs>
          <w:tab w:val="left" w:pos="2520"/>
        </w:tabs>
        <w:ind w:left="2520" w:hanging="420"/>
      </w:pPr>
      <w:rPr>
        <w:rFonts w:hint="default" w:ascii="Times New Roman"/>
        <w:u w:val="none" w:color="auto"/>
      </w:rPr>
    </w:lvl>
    <w:lvl w:ilvl="6" w:tentative="0">
      <w:start w:val="1"/>
      <w:numFmt w:val="decimal"/>
      <w:lvlText w:val="%7."/>
      <w:lvlJc w:val="left"/>
      <w:pPr>
        <w:tabs>
          <w:tab w:val="left" w:pos="2940"/>
        </w:tabs>
        <w:ind w:left="2940" w:hanging="420"/>
      </w:pPr>
      <w:rPr>
        <w:rFonts w:hint="default" w:ascii="Times New Roman"/>
        <w:u w:val="none" w:color="auto"/>
      </w:rPr>
    </w:lvl>
    <w:lvl w:ilvl="7" w:tentative="0">
      <w:start w:val="1"/>
      <w:numFmt w:val="lowerLetter"/>
      <w:lvlText w:val="%8)"/>
      <w:lvlJc w:val="left"/>
      <w:pPr>
        <w:tabs>
          <w:tab w:val="left" w:pos="3360"/>
        </w:tabs>
        <w:ind w:left="3360" w:hanging="420"/>
      </w:pPr>
      <w:rPr>
        <w:rFonts w:hint="default" w:ascii="Times New Roman"/>
        <w:u w:val="none" w:color="auto"/>
      </w:rPr>
    </w:lvl>
    <w:lvl w:ilvl="8" w:tentative="0">
      <w:start w:val="1"/>
      <w:numFmt w:val="lowerRoman"/>
      <w:lvlText w:val="%9."/>
      <w:lvlJc w:val="right"/>
      <w:pPr>
        <w:tabs>
          <w:tab w:val="left" w:pos="3780"/>
        </w:tabs>
        <w:ind w:left="3780" w:hanging="420"/>
      </w:pPr>
      <w:rPr>
        <w:rFonts w:hint="default" w:ascii="Times New Roman"/>
        <w:u w:val="none" w:color="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47EFD"/>
    <w:rsid w:val="223B789B"/>
    <w:rsid w:val="64647EFD"/>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表标题"/>
    <w:next w:val="5"/>
    <w:uiPriority w:val="0"/>
    <w:pPr>
      <w:numPr>
        <w:ilvl w:val="0"/>
        <w:numId w:val="1"/>
      </w:numPr>
      <w:ind w:left="3255"/>
      <w:jc w:val="center"/>
    </w:pPr>
    <w:rPr>
      <w:rFonts w:hint="eastAsia" w:ascii="黑体" w:hAnsi="Calibri" w:eastAsia="黑体" w:cs="Times New Roman"/>
      <w:sz w:val="21"/>
      <w:lang w:val="en-US" w:eastAsia="zh-CN"/>
    </w:rPr>
  </w:style>
  <w:style w:type="paragraph" w:customStyle="1" w:styleId="5">
    <w:name w:val="段"/>
    <w:uiPriority w:val="0"/>
    <w:pPr>
      <w:autoSpaceDE w:val="0"/>
      <w:autoSpaceDN w:val="0"/>
      <w:ind w:firstLine="200" w:firstLineChars="200"/>
      <w:jc w:val="both"/>
    </w:pPr>
    <w:rPr>
      <w:rFonts w:hint="eastAsia" w:ascii="宋体" w:hAnsi="Times New Roman" w:eastAsia="宋体" w:cs="Times New Roman"/>
    </w:rPr>
  </w:style>
  <w:style w:type="paragraph" w:customStyle="1" w:styleId="6">
    <w:name w:val="段(正文）"/>
    <w:uiPriority w:val="0"/>
    <w:pPr>
      <w:autoSpaceDE w:val="0"/>
      <w:autoSpaceDN w:val="0"/>
      <w:ind w:firstLine="420"/>
      <w:jc w:val="both"/>
    </w:pPr>
    <w:rPr>
      <w:rFonts w:hint="eastAsia" w:ascii="宋体" w:hAnsi="Calibri" w:eastAsia="宋体" w:cs="Times New Roman"/>
      <w:sz w:val="21"/>
      <w:lang w:val="en-US" w:eastAsia="zh-CN"/>
    </w:rPr>
  </w:style>
  <w:style w:type="paragraph" w:customStyle="1" w:styleId="7">
    <w:name w:val="一级条标题"/>
    <w:next w:val="5"/>
    <w:uiPriority w:val="0"/>
    <w:pPr>
      <w:numPr>
        <w:ilvl w:val="2"/>
        <w:numId w:val="2"/>
      </w:numPr>
      <w:outlineLvl w:val="2"/>
    </w:pPr>
    <w:rPr>
      <w:rFonts w:hint="eastAsia" w:ascii="Times New Roman" w:hAnsi="Times New Roman" w:eastAsia="黑体" w:cs="Times New Roman"/>
      <w:sz w:val="21"/>
      <w:lang w:val="en-US" w:eastAsia="zh-CN"/>
    </w:rPr>
  </w:style>
  <w:style w:type="paragraph" w:customStyle="1" w:styleId="8">
    <w:name w:val="列项——（一级）"/>
    <w:uiPriority w:val="0"/>
    <w:pPr>
      <w:widowControl w:val="0"/>
      <w:numPr>
        <w:ilvl w:val="0"/>
        <w:numId w:val="3"/>
      </w:numPr>
      <w:ind w:left="420" w:hanging="420"/>
      <w:jc w:val="both"/>
    </w:pPr>
    <w:rPr>
      <w:rFonts w:hint="eastAsia" w:ascii="宋体" w:hAnsi="Calibri" w:eastAsia="宋体" w:cs="Times New Roman"/>
      <w:sz w:val="21"/>
      <w:lang w:val="en-US" w:eastAsia="zh-CN"/>
    </w:rPr>
  </w:style>
  <w:style w:type="paragraph" w:customStyle="1" w:styleId="9">
    <w:name w:val="二级条标题"/>
    <w:basedOn w:val="7"/>
    <w:next w:val="1"/>
    <w:qFormat/>
    <w:uiPriority w:val="0"/>
    <w:pPr>
      <w:ind w:left="567"/>
      <w:outlineLvl w:val="3"/>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2019-06-06T02:52:00Z</dcterms:created>
  <dc:creator>华</dc:creator>
  <cp:lastModifiedBy>华</cp:lastModifiedBy>
  <dcterms:modified xsi:type="dcterms:W3CDTF">2019-06-06T02:53:05Z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