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bCs/>
          <w:sz w:val="32"/>
          <w:szCs w:val="32"/>
          <w:lang w:eastAsia="zh-CN"/>
        </w:rPr>
      </w:pPr>
      <w:bookmarkStart w:id="0" w:name="_GoBack"/>
      <w:r>
        <w:rPr>
          <w:rFonts w:hint="eastAsia" w:ascii="黑体" w:hAnsi="黑体" w:eastAsia="黑体" w:cs="黑体"/>
          <w:bCs/>
          <w:sz w:val="32"/>
          <w:szCs w:val="32"/>
          <w:lang w:eastAsia="zh-CN"/>
        </w:rPr>
        <w:t>附件</w:t>
      </w:r>
    </w:p>
    <w:p>
      <w:pPr>
        <w:spacing w:line="560" w:lineRule="exact"/>
        <w:ind w:firstLine="1760" w:firstLineChars="400"/>
        <w:jc w:val="both"/>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广东省职业病防治工作主要任务指标和责任单位</w:t>
      </w:r>
      <w:bookmarkEnd w:id="0"/>
    </w:p>
    <w:p>
      <w:pPr>
        <w:spacing w:line="560" w:lineRule="exact"/>
        <w:ind w:firstLine="1760" w:firstLineChars="400"/>
        <w:jc w:val="both"/>
        <w:rPr>
          <w:rFonts w:hint="default" w:ascii="Times New Roman" w:hAnsi="Times New Roman" w:eastAsia="方正小标宋简体" w:cs="Times New Roman"/>
          <w:bCs/>
          <w:sz w:val="44"/>
        </w:rPr>
      </w:pPr>
    </w:p>
    <w:tbl>
      <w:tblPr>
        <w:tblStyle w:val="5"/>
        <w:tblW w:w="145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3915"/>
        <w:gridCol w:w="18"/>
        <w:gridCol w:w="3732"/>
        <w:gridCol w:w="3390"/>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1514" w:type="dxa"/>
            <w:vMerge w:val="restart"/>
            <w:vAlign w:val="center"/>
          </w:tcPr>
          <w:p>
            <w:pPr>
              <w:tabs>
                <w:tab w:val="left" w:pos="840"/>
              </w:tabs>
              <w:spacing w:line="400"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主要任务</w:t>
            </w:r>
          </w:p>
        </w:tc>
        <w:tc>
          <w:tcPr>
            <w:tcW w:w="11055" w:type="dxa"/>
            <w:gridSpan w:val="4"/>
            <w:vAlign w:val="center"/>
          </w:tcPr>
          <w:p>
            <w:pPr>
              <w:spacing w:line="400"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指标要求</w:t>
            </w:r>
          </w:p>
        </w:tc>
        <w:tc>
          <w:tcPr>
            <w:tcW w:w="1949" w:type="dxa"/>
            <w:vMerge w:val="restart"/>
            <w:vAlign w:val="center"/>
          </w:tcPr>
          <w:p>
            <w:pPr>
              <w:spacing w:line="400"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blHeader/>
          <w:jc w:val="center"/>
        </w:trPr>
        <w:tc>
          <w:tcPr>
            <w:tcW w:w="1514" w:type="dxa"/>
            <w:vMerge w:val="continue"/>
            <w:vAlign w:val="center"/>
          </w:tcPr>
          <w:p>
            <w:pPr>
              <w:tabs>
                <w:tab w:val="left" w:pos="840"/>
              </w:tabs>
              <w:spacing w:line="400" w:lineRule="exact"/>
              <w:jc w:val="center"/>
              <w:rPr>
                <w:rFonts w:hint="default" w:ascii="Times New Roman" w:hAnsi="Times New Roman" w:cs="Times New Roman"/>
                <w:bCs/>
                <w:sz w:val="32"/>
                <w:szCs w:val="32"/>
              </w:rPr>
            </w:pPr>
          </w:p>
        </w:tc>
        <w:tc>
          <w:tcPr>
            <w:tcW w:w="3933" w:type="dxa"/>
            <w:gridSpan w:val="2"/>
            <w:vAlign w:val="center"/>
          </w:tcPr>
          <w:p>
            <w:pPr>
              <w:tabs>
                <w:tab w:val="left" w:pos="840"/>
              </w:tabs>
              <w:spacing w:line="400"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2020年</w:t>
            </w:r>
          </w:p>
        </w:tc>
        <w:tc>
          <w:tcPr>
            <w:tcW w:w="3732" w:type="dxa"/>
            <w:vAlign w:val="center"/>
          </w:tcPr>
          <w:p>
            <w:pPr>
              <w:tabs>
                <w:tab w:val="left" w:pos="840"/>
              </w:tabs>
              <w:spacing w:line="400"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2025年</w:t>
            </w:r>
          </w:p>
        </w:tc>
        <w:tc>
          <w:tcPr>
            <w:tcW w:w="3390" w:type="dxa"/>
            <w:vAlign w:val="center"/>
          </w:tcPr>
          <w:p>
            <w:pPr>
              <w:spacing w:line="400"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2030年</w:t>
            </w:r>
          </w:p>
        </w:tc>
        <w:tc>
          <w:tcPr>
            <w:tcW w:w="1949" w:type="dxa"/>
            <w:vMerge w:val="continue"/>
            <w:vAlign w:val="center"/>
          </w:tcPr>
          <w:p>
            <w:pPr>
              <w:spacing w:line="400" w:lineRule="exact"/>
              <w:jc w:val="center"/>
              <w:rPr>
                <w:rFonts w:hint="default" w:ascii="Times New Roman" w:hAnsi="Times New Roman"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1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eastAsia" w:ascii="宋体" w:hAnsi="宋体" w:eastAsia="宋体" w:cs="Times New Roman"/>
                <w:bCs/>
                <w:sz w:val="21"/>
                <w:szCs w:val="24"/>
              </w:rPr>
            </w:pPr>
            <w:r>
              <w:rPr>
                <w:rFonts w:hint="eastAsia" w:ascii="宋体" w:hAnsi="宋体" w:eastAsia="宋体" w:cs="Times New Roman"/>
                <w:bCs/>
                <w:sz w:val="21"/>
                <w:szCs w:val="24"/>
              </w:rPr>
              <w:t>一、落实用人单位主体责任</w:t>
            </w:r>
          </w:p>
        </w:tc>
        <w:tc>
          <w:tcPr>
            <w:tcW w:w="391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eastAsia" w:ascii="宋体" w:hAnsi="宋体" w:eastAsia="宋体" w:cs="Times New Roman"/>
                <w:bCs/>
                <w:sz w:val="21"/>
                <w:szCs w:val="24"/>
              </w:rPr>
            </w:pPr>
            <w:r>
              <w:rPr>
                <w:rFonts w:hint="eastAsia" w:ascii="宋体" w:hAnsi="宋体" w:eastAsia="宋体" w:cs="Times New Roman"/>
                <w:bCs/>
                <w:sz w:val="21"/>
                <w:szCs w:val="24"/>
                <w:shd w:val="clear" w:color="auto" w:fill="FFFFFF"/>
              </w:rPr>
              <w:t>职业病易发高发重点行业的用人单位职业病危害项目申报率达到85%以上，工作场所职业病危害因素定期检测率达到80%以上，接触职业病危害的劳动者在岗期间职业健康检查率达到90%以上，主要负责人、职业卫生管理人员职业卫生培训率均达到95%以上，医疗卫生机构放射工作人员个人剂量监测率达到90％以上。</w:t>
            </w:r>
          </w:p>
        </w:tc>
        <w:tc>
          <w:tcPr>
            <w:tcW w:w="3750" w:type="dxa"/>
            <w:gridSpan w:val="2"/>
            <w:vAlign w:val="center"/>
          </w:tcPr>
          <w:p>
            <w:pPr>
              <w:spacing w:line="360" w:lineRule="exact"/>
              <w:jc w:val="left"/>
              <w:rPr>
                <w:rFonts w:hint="eastAsia" w:ascii="宋体" w:hAnsi="宋体" w:eastAsia="宋体" w:cs="Times New Roman"/>
                <w:bCs/>
                <w:sz w:val="21"/>
                <w:szCs w:val="24"/>
              </w:rPr>
            </w:pPr>
            <w:r>
              <w:rPr>
                <w:rFonts w:hint="eastAsia" w:ascii="宋体" w:hAnsi="宋体" w:eastAsia="宋体" w:cs="Times New Roman"/>
                <w:bCs/>
                <w:sz w:val="21"/>
                <w:szCs w:val="24"/>
                <w:shd w:val="clear" w:color="auto" w:fill="FFFFFF"/>
              </w:rPr>
              <w:t>职业病易发高发重点行业的用人单位职业病危害项目申报率达到90%以上，工作场所职业病危害因素定期检测率达到90%以上，接触职业病危害的劳动者在岗期间职业健康检查率达到95%以上，主要负责人、职业卫生管理人员职业卫生培训率均达到97%以上，医疗卫生机构放射工作人员个人剂量监测率达到95％以上。</w:t>
            </w:r>
          </w:p>
        </w:tc>
        <w:tc>
          <w:tcPr>
            <w:tcW w:w="3390" w:type="dxa"/>
            <w:vAlign w:val="center"/>
          </w:tcPr>
          <w:p>
            <w:pPr>
              <w:spacing w:line="360" w:lineRule="exact"/>
              <w:rPr>
                <w:rFonts w:hint="eastAsia" w:ascii="宋体" w:hAnsi="宋体" w:eastAsia="宋体" w:cs="Times New Roman"/>
                <w:bCs/>
                <w:sz w:val="21"/>
                <w:szCs w:val="24"/>
              </w:rPr>
            </w:pPr>
            <w:r>
              <w:rPr>
                <w:rFonts w:hint="eastAsia" w:ascii="宋体" w:hAnsi="宋体" w:eastAsia="宋体" w:cs="Times New Roman"/>
                <w:bCs/>
                <w:sz w:val="21"/>
                <w:szCs w:val="24"/>
                <w:shd w:val="clear" w:color="auto" w:fill="FFFFFF"/>
              </w:rPr>
              <w:t>职业病易发高发重点行业的用人单位职业病危害项目申报率、工作场所职业病危害因素定期检测率、接触职业病危害的劳动者在岗期间职业健康检查率以及医疗卫生机构放射工作人员个人剂量监测率基本达到95％以上，主要负责人、职业卫生管理人员职业卫生培训率基本达到100%。</w:t>
            </w:r>
          </w:p>
        </w:tc>
        <w:tc>
          <w:tcPr>
            <w:tcW w:w="1949" w:type="dxa"/>
            <w:vAlign w:val="center"/>
          </w:tcPr>
          <w:p>
            <w:pPr>
              <w:spacing w:line="360" w:lineRule="exact"/>
              <w:rPr>
                <w:rFonts w:hint="eastAsia" w:ascii="宋体" w:hAnsi="宋体" w:eastAsia="宋体" w:cs="Times New Roman"/>
                <w:bCs/>
                <w:sz w:val="21"/>
                <w:szCs w:val="24"/>
              </w:rPr>
            </w:pPr>
            <w:r>
              <w:rPr>
                <w:rFonts w:hint="eastAsia" w:ascii="宋体" w:hAnsi="宋体" w:eastAsia="宋体" w:cs="Times New Roman"/>
                <w:bCs/>
                <w:sz w:val="21"/>
                <w:szCs w:val="24"/>
              </w:rPr>
              <w:t>省卫生健康委牵头统筹</w:t>
            </w:r>
            <w:r>
              <w:rPr>
                <w:rFonts w:hint="eastAsia" w:ascii="宋体" w:hAnsi="宋体" w:eastAsia="宋体" w:cs="Times New Roman"/>
                <w:bCs/>
                <w:sz w:val="21"/>
                <w:szCs w:val="24"/>
                <w:lang w:eastAsia="zh-CN"/>
              </w:rPr>
              <w:t>负责</w:t>
            </w:r>
            <w:r>
              <w:rPr>
                <w:rFonts w:hint="eastAsia" w:ascii="宋体" w:hAnsi="宋体" w:eastAsia="宋体" w:cs="Times New Roman"/>
                <w:bCs/>
                <w:sz w:val="21"/>
                <w:szCs w:val="24"/>
              </w:rPr>
              <w:t>，省应急管理厅、市场监管局、国资委等单位按职责负责，各地级以上市人民政府落实属地责任。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1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eastAsia" w:ascii="宋体" w:hAnsi="宋体" w:eastAsia="宋体" w:cs="Times New Roman"/>
                <w:bCs/>
                <w:sz w:val="21"/>
                <w:szCs w:val="24"/>
              </w:rPr>
            </w:pPr>
            <w:r>
              <w:rPr>
                <w:rFonts w:hint="eastAsia" w:ascii="宋体" w:hAnsi="宋体" w:eastAsia="宋体" w:cs="Times New Roman"/>
                <w:bCs/>
                <w:sz w:val="21"/>
                <w:szCs w:val="24"/>
              </w:rPr>
              <w:t>二、加强重点职业病监测</w:t>
            </w:r>
          </w:p>
        </w:tc>
        <w:tc>
          <w:tcPr>
            <w:tcW w:w="391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eastAsia" w:ascii="宋体" w:hAnsi="宋体" w:eastAsia="宋体" w:cs="Times New Roman"/>
                <w:bCs/>
                <w:sz w:val="21"/>
                <w:szCs w:val="24"/>
              </w:rPr>
            </w:pPr>
            <w:r>
              <w:rPr>
                <w:rFonts w:hint="eastAsia" w:ascii="宋体" w:hAnsi="宋体" w:eastAsia="宋体" w:cs="Times New Roman"/>
                <w:bCs/>
                <w:sz w:val="21"/>
                <w:szCs w:val="24"/>
              </w:rPr>
              <w:t>1.开展重点职业病监测工作的县（市、区）实现全覆盖，完成12万目标人群的职业健康检查和600家企业共3万人的职业病危害因素监测。</w:t>
            </w:r>
          </w:p>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eastAsia" w:ascii="宋体" w:hAnsi="宋体" w:eastAsia="宋体" w:cs="Times New Roman"/>
                <w:bCs/>
                <w:sz w:val="21"/>
                <w:szCs w:val="24"/>
              </w:rPr>
            </w:pPr>
            <w:r>
              <w:rPr>
                <w:rFonts w:hint="eastAsia" w:ascii="宋体" w:hAnsi="宋体" w:eastAsia="宋体" w:cs="Times New Roman"/>
                <w:bCs/>
                <w:sz w:val="21"/>
                <w:szCs w:val="24"/>
              </w:rPr>
              <w:t>2.开展医用辐射防护监测的县（市、区）覆盖率达到90%以上。提升职业病报告质量，职业病诊断机构报告率基本达到100%。</w:t>
            </w:r>
          </w:p>
        </w:tc>
        <w:tc>
          <w:tcPr>
            <w:tcW w:w="3750" w:type="dxa"/>
            <w:gridSpan w:val="2"/>
            <w:vAlign w:val="center"/>
          </w:tcPr>
          <w:p>
            <w:pPr>
              <w:spacing w:line="360" w:lineRule="exact"/>
              <w:rPr>
                <w:rFonts w:hint="eastAsia" w:ascii="宋体" w:hAnsi="宋体" w:eastAsia="宋体" w:cs="Times New Roman"/>
                <w:bCs/>
                <w:sz w:val="21"/>
                <w:szCs w:val="24"/>
                <w:shd w:val="clear" w:color="auto" w:fill="FFFFFF"/>
              </w:rPr>
            </w:pPr>
            <w:r>
              <w:rPr>
                <w:rFonts w:hint="eastAsia" w:ascii="宋体" w:hAnsi="宋体" w:eastAsia="宋体" w:cs="Times New Roman"/>
                <w:bCs/>
                <w:sz w:val="21"/>
                <w:szCs w:val="24"/>
                <w:shd w:val="clear" w:color="auto" w:fill="FFFFFF"/>
              </w:rPr>
              <w:t>1.</w:t>
            </w:r>
            <w:r>
              <w:rPr>
                <w:rFonts w:hint="eastAsia" w:ascii="宋体" w:hAnsi="宋体" w:eastAsia="宋体" w:cs="Times New Roman"/>
                <w:bCs/>
                <w:sz w:val="21"/>
                <w:szCs w:val="24"/>
                <w:shd w:val="clear" w:color="auto" w:fill="FFFFFF"/>
                <w:lang w:val="zh-CN"/>
              </w:rPr>
              <w:t>完成</w:t>
            </w:r>
            <w:r>
              <w:rPr>
                <w:rFonts w:hint="eastAsia" w:ascii="宋体" w:hAnsi="宋体" w:eastAsia="宋体" w:cs="Times New Roman"/>
                <w:bCs/>
                <w:sz w:val="21"/>
                <w:szCs w:val="24"/>
                <w:shd w:val="clear" w:color="auto" w:fill="FFFFFF"/>
              </w:rPr>
              <w:t>18</w:t>
            </w:r>
            <w:r>
              <w:rPr>
                <w:rFonts w:hint="eastAsia" w:ascii="宋体" w:hAnsi="宋体" w:eastAsia="宋体" w:cs="Times New Roman"/>
                <w:bCs/>
                <w:sz w:val="21"/>
                <w:szCs w:val="24"/>
                <w:shd w:val="clear" w:color="auto" w:fill="FFFFFF"/>
                <w:lang w:val="zh-CN"/>
              </w:rPr>
              <w:t>万目标人群的职业健康检查和</w:t>
            </w:r>
            <w:r>
              <w:rPr>
                <w:rFonts w:hint="eastAsia" w:ascii="宋体" w:hAnsi="宋体" w:eastAsia="宋体" w:cs="Times New Roman"/>
                <w:bCs/>
                <w:sz w:val="21"/>
                <w:szCs w:val="24"/>
                <w:shd w:val="clear" w:color="auto" w:fill="FFFFFF"/>
              </w:rPr>
              <w:t>9</w:t>
            </w:r>
            <w:r>
              <w:rPr>
                <w:rFonts w:hint="eastAsia" w:ascii="宋体" w:hAnsi="宋体" w:eastAsia="宋体" w:cs="Times New Roman"/>
                <w:bCs/>
                <w:sz w:val="21"/>
                <w:szCs w:val="24"/>
                <w:shd w:val="clear" w:color="auto" w:fill="FFFFFF"/>
                <w:lang w:val="zh-CN"/>
              </w:rPr>
              <w:t>00家企业共</w:t>
            </w:r>
            <w:r>
              <w:rPr>
                <w:rFonts w:hint="eastAsia" w:ascii="宋体" w:hAnsi="宋体" w:eastAsia="宋体" w:cs="Times New Roman"/>
                <w:bCs/>
                <w:sz w:val="21"/>
                <w:szCs w:val="24"/>
                <w:shd w:val="clear" w:color="auto" w:fill="FFFFFF"/>
              </w:rPr>
              <w:t>4.5</w:t>
            </w:r>
            <w:r>
              <w:rPr>
                <w:rFonts w:hint="eastAsia" w:ascii="宋体" w:hAnsi="宋体" w:eastAsia="宋体" w:cs="Times New Roman"/>
                <w:bCs/>
                <w:sz w:val="21"/>
                <w:szCs w:val="24"/>
                <w:shd w:val="clear" w:color="auto" w:fill="FFFFFF"/>
                <w:lang w:val="zh-CN"/>
              </w:rPr>
              <w:t>万人的职业病危害因素监测</w:t>
            </w:r>
            <w:r>
              <w:rPr>
                <w:rFonts w:hint="eastAsia" w:ascii="宋体" w:hAnsi="宋体" w:eastAsia="宋体" w:cs="Times New Roman"/>
                <w:bCs/>
                <w:sz w:val="21"/>
                <w:szCs w:val="24"/>
                <w:shd w:val="clear" w:color="auto" w:fill="FFFFFF"/>
              </w:rPr>
              <w:t>；</w:t>
            </w:r>
          </w:p>
          <w:p>
            <w:pPr>
              <w:spacing w:line="360" w:lineRule="exact"/>
              <w:rPr>
                <w:rFonts w:hint="eastAsia" w:ascii="宋体" w:hAnsi="宋体" w:eastAsia="宋体" w:cs="Times New Roman"/>
                <w:bCs/>
                <w:sz w:val="21"/>
                <w:szCs w:val="24"/>
              </w:rPr>
            </w:pPr>
            <w:r>
              <w:rPr>
                <w:rFonts w:hint="eastAsia" w:ascii="宋体" w:hAnsi="宋体" w:eastAsia="宋体" w:cs="Times New Roman"/>
                <w:bCs/>
                <w:sz w:val="21"/>
                <w:szCs w:val="24"/>
                <w:shd w:val="clear" w:color="auto" w:fill="FFFFFF"/>
              </w:rPr>
              <w:t>2.开展</w:t>
            </w:r>
            <w:r>
              <w:rPr>
                <w:rFonts w:hint="eastAsia" w:ascii="宋体" w:hAnsi="宋体" w:eastAsia="宋体" w:cs="Times New Roman"/>
                <w:bCs/>
                <w:sz w:val="21"/>
                <w:szCs w:val="24"/>
              </w:rPr>
              <w:t>医用辐射防护监测的县（市、区）覆盖率达到95%以上。</w:t>
            </w:r>
          </w:p>
        </w:tc>
        <w:tc>
          <w:tcPr>
            <w:tcW w:w="3390" w:type="dxa"/>
            <w:vAlign w:val="center"/>
          </w:tcPr>
          <w:p>
            <w:pPr>
              <w:spacing w:line="360" w:lineRule="exact"/>
              <w:rPr>
                <w:rFonts w:hint="eastAsia" w:ascii="宋体" w:hAnsi="宋体" w:eastAsia="宋体" w:cs="Times New Roman"/>
                <w:bCs/>
                <w:sz w:val="21"/>
                <w:szCs w:val="24"/>
                <w:shd w:val="clear" w:color="auto" w:fill="FFFFFF"/>
              </w:rPr>
            </w:pPr>
            <w:r>
              <w:rPr>
                <w:rFonts w:hint="eastAsia" w:ascii="宋体" w:hAnsi="宋体" w:eastAsia="宋体" w:cs="Times New Roman"/>
                <w:bCs/>
                <w:sz w:val="21"/>
                <w:szCs w:val="24"/>
                <w:shd w:val="clear" w:color="auto" w:fill="FFFFFF"/>
              </w:rPr>
              <w:t>1.</w:t>
            </w:r>
            <w:r>
              <w:rPr>
                <w:rFonts w:hint="eastAsia" w:ascii="宋体" w:hAnsi="宋体" w:eastAsia="宋体" w:cs="Times New Roman"/>
                <w:bCs/>
                <w:sz w:val="21"/>
                <w:szCs w:val="24"/>
                <w:shd w:val="clear" w:color="auto" w:fill="FFFFFF"/>
                <w:lang w:val="zh-CN"/>
              </w:rPr>
              <w:t>完成</w:t>
            </w:r>
            <w:r>
              <w:rPr>
                <w:rFonts w:hint="eastAsia" w:ascii="宋体" w:hAnsi="宋体" w:eastAsia="宋体" w:cs="Times New Roman"/>
                <w:bCs/>
                <w:sz w:val="21"/>
                <w:szCs w:val="24"/>
                <w:shd w:val="clear" w:color="auto" w:fill="FFFFFF"/>
              </w:rPr>
              <w:t>24</w:t>
            </w:r>
            <w:r>
              <w:rPr>
                <w:rFonts w:hint="eastAsia" w:ascii="宋体" w:hAnsi="宋体" w:eastAsia="宋体" w:cs="Times New Roman"/>
                <w:bCs/>
                <w:sz w:val="21"/>
                <w:szCs w:val="24"/>
                <w:shd w:val="clear" w:color="auto" w:fill="FFFFFF"/>
                <w:lang w:val="zh-CN"/>
              </w:rPr>
              <w:t>万目标人群的职业健康检查和</w:t>
            </w:r>
            <w:r>
              <w:rPr>
                <w:rFonts w:hint="eastAsia" w:ascii="宋体" w:hAnsi="宋体" w:eastAsia="宋体" w:cs="Times New Roman"/>
                <w:bCs/>
                <w:sz w:val="21"/>
                <w:szCs w:val="24"/>
                <w:shd w:val="clear" w:color="auto" w:fill="FFFFFF"/>
              </w:rPr>
              <w:t>12</w:t>
            </w:r>
            <w:r>
              <w:rPr>
                <w:rFonts w:hint="eastAsia" w:ascii="宋体" w:hAnsi="宋体" w:eastAsia="宋体" w:cs="Times New Roman"/>
                <w:bCs/>
                <w:sz w:val="21"/>
                <w:szCs w:val="24"/>
                <w:shd w:val="clear" w:color="auto" w:fill="FFFFFF"/>
                <w:lang w:val="zh-CN"/>
              </w:rPr>
              <w:t>00家企业共</w:t>
            </w:r>
            <w:r>
              <w:rPr>
                <w:rFonts w:hint="eastAsia" w:ascii="宋体" w:hAnsi="宋体" w:eastAsia="宋体" w:cs="Times New Roman"/>
                <w:bCs/>
                <w:sz w:val="21"/>
                <w:szCs w:val="24"/>
                <w:shd w:val="clear" w:color="auto" w:fill="FFFFFF"/>
              </w:rPr>
              <w:t>6</w:t>
            </w:r>
            <w:r>
              <w:rPr>
                <w:rFonts w:hint="eastAsia" w:ascii="宋体" w:hAnsi="宋体" w:eastAsia="宋体" w:cs="Times New Roman"/>
                <w:bCs/>
                <w:sz w:val="21"/>
                <w:szCs w:val="24"/>
                <w:shd w:val="clear" w:color="auto" w:fill="FFFFFF"/>
                <w:lang w:val="zh-CN"/>
              </w:rPr>
              <w:t>万人的职业病危害因素监测</w:t>
            </w:r>
            <w:r>
              <w:rPr>
                <w:rFonts w:hint="eastAsia" w:ascii="宋体" w:hAnsi="宋体" w:eastAsia="宋体" w:cs="Times New Roman"/>
                <w:bCs/>
                <w:sz w:val="21"/>
                <w:szCs w:val="24"/>
                <w:shd w:val="clear" w:color="auto" w:fill="FFFFFF"/>
              </w:rPr>
              <w:t>；</w:t>
            </w:r>
          </w:p>
          <w:p>
            <w:pPr>
              <w:spacing w:line="360" w:lineRule="exact"/>
              <w:rPr>
                <w:rFonts w:hint="eastAsia" w:ascii="宋体" w:hAnsi="宋体" w:eastAsia="宋体" w:cs="Times New Roman"/>
                <w:bCs/>
                <w:sz w:val="21"/>
                <w:szCs w:val="24"/>
              </w:rPr>
            </w:pPr>
            <w:r>
              <w:rPr>
                <w:rFonts w:hint="eastAsia" w:ascii="宋体" w:hAnsi="宋体" w:eastAsia="宋体" w:cs="Times New Roman"/>
                <w:bCs/>
                <w:sz w:val="21"/>
                <w:szCs w:val="24"/>
                <w:shd w:val="clear" w:color="auto" w:fill="FFFFFF"/>
              </w:rPr>
              <w:t>2.</w:t>
            </w:r>
            <w:r>
              <w:rPr>
                <w:rFonts w:hint="eastAsia" w:ascii="宋体" w:hAnsi="宋体" w:eastAsia="宋体" w:cs="Times New Roman"/>
                <w:bCs/>
                <w:sz w:val="21"/>
                <w:szCs w:val="24"/>
              </w:rPr>
              <w:t>开展医用辐射防护监测的县（市、区）覆盖率基本达到100%。</w:t>
            </w:r>
          </w:p>
        </w:tc>
        <w:tc>
          <w:tcPr>
            <w:tcW w:w="1949" w:type="dxa"/>
            <w:vAlign w:val="center"/>
          </w:tcPr>
          <w:p>
            <w:pPr>
              <w:spacing w:line="360" w:lineRule="exact"/>
              <w:rPr>
                <w:rFonts w:hint="eastAsia" w:ascii="宋体" w:hAnsi="宋体" w:eastAsia="宋体" w:cs="Times New Roman"/>
                <w:bCs/>
                <w:sz w:val="21"/>
                <w:szCs w:val="24"/>
              </w:rPr>
            </w:pPr>
            <w:r>
              <w:rPr>
                <w:rFonts w:hint="eastAsia" w:ascii="宋体" w:hAnsi="宋体" w:eastAsia="宋体" w:cs="Times New Roman"/>
                <w:bCs/>
                <w:sz w:val="21"/>
                <w:szCs w:val="24"/>
              </w:rPr>
              <w:t>省卫生健康委牵头统筹</w:t>
            </w:r>
            <w:r>
              <w:rPr>
                <w:rFonts w:hint="eastAsia" w:ascii="宋体" w:hAnsi="宋体" w:eastAsia="宋体" w:cs="Times New Roman"/>
                <w:bCs/>
                <w:sz w:val="21"/>
                <w:szCs w:val="24"/>
                <w:lang w:eastAsia="zh-CN"/>
              </w:rPr>
              <w:t>负责</w:t>
            </w:r>
            <w:r>
              <w:rPr>
                <w:rFonts w:hint="eastAsia" w:ascii="宋体" w:hAnsi="宋体" w:eastAsia="宋体" w:cs="Times New Roman"/>
                <w:bCs/>
                <w:sz w:val="21"/>
                <w:szCs w:val="24"/>
              </w:rPr>
              <w:t>，省发展改革委、财政厅等各单位按职责负责，各地级以上市人民政府落实属地责任。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0" w:hRule="atLeast"/>
          <w:jc w:val="center"/>
        </w:trPr>
        <w:tc>
          <w:tcPr>
            <w:tcW w:w="151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宋体" w:hAnsi="宋体" w:eastAsia="宋体" w:cs="Times New Roman"/>
                <w:bCs/>
                <w:sz w:val="21"/>
                <w:szCs w:val="24"/>
              </w:rPr>
            </w:pPr>
            <w:r>
              <w:rPr>
                <w:rFonts w:hint="eastAsia" w:ascii="宋体" w:hAnsi="宋体" w:eastAsia="宋体" w:cs="Times New Roman"/>
                <w:bCs/>
                <w:sz w:val="21"/>
                <w:szCs w:val="24"/>
              </w:rPr>
              <w:t>三、强化重点行业领域职业病危害治理</w:t>
            </w:r>
          </w:p>
        </w:tc>
        <w:tc>
          <w:tcPr>
            <w:tcW w:w="391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宋体" w:hAnsi="宋体" w:eastAsia="宋体" w:cs="Times New Roman"/>
                <w:bCs/>
                <w:sz w:val="21"/>
                <w:szCs w:val="24"/>
              </w:rPr>
            </w:pPr>
            <w:r>
              <w:rPr>
                <w:rFonts w:hint="eastAsia" w:ascii="宋体" w:hAnsi="宋体" w:eastAsia="宋体" w:cs="Times New Roman"/>
                <w:bCs/>
                <w:sz w:val="21"/>
                <w:szCs w:val="24"/>
              </w:rPr>
              <w:t>1.加强粉尘危害治理</w:t>
            </w:r>
            <w:r>
              <w:rPr>
                <w:rFonts w:hint="eastAsia" w:ascii="宋体" w:hAnsi="宋体" w:eastAsia="宋体" w:cs="Times New Roman"/>
                <w:bCs/>
                <w:sz w:val="21"/>
                <w:szCs w:val="24"/>
                <w:lang w:eastAsia="zh-CN"/>
              </w:rPr>
              <w:t>。</w:t>
            </w:r>
            <w:r>
              <w:rPr>
                <w:rFonts w:hint="eastAsia" w:ascii="宋体" w:hAnsi="宋体" w:eastAsia="宋体" w:cs="Times New Roman"/>
                <w:bCs/>
                <w:sz w:val="21"/>
                <w:szCs w:val="24"/>
              </w:rPr>
              <w:t>接尘工龄不足5年的劳动者新发尘肺病报告例数占年度报告总例数的比例下降为30%（省卫生健康委负责）</w:t>
            </w:r>
            <w:r>
              <w:rPr>
                <w:rFonts w:hint="eastAsia" w:ascii="宋体" w:hAnsi="宋体" w:eastAsia="宋体" w:cs="Times New Roman"/>
                <w:bCs/>
                <w:sz w:val="21"/>
                <w:szCs w:val="24"/>
                <w:lang w:eastAsia="zh-CN"/>
              </w:rPr>
              <w:t>，</w:t>
            </w:r>
            <w:r>
              <w:rPr>
                <w:rFonts w:hint="eastAsia" w:ascii="宋体" w:hAnsi="宋体" w:eastAsia="宋体" w:cs="Times New Roman"/>
                <w:bCs/>
                <w:sz w:val="21"/>
                <w:szCs w:val="24"/>
              </w:rPr>
              <w:t>不具备安全生产条件（省应急管理厅负责）、不满足环保要求（省生态环境厅负责）的小矿山、小水泥、小金属冶炼、小陶瓷、小石材加工大幅减少。</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eastAsia" w:ascii="宋体" w:hAnsi="宋体" w:eastAsia="宋体" w:cs="Times New Roman"/>
                <w:bCs/>
                <w:sz w:val="21"/>
                <w:szCs w:val="24"/>
              </w:rPr>
            </w:pPr>
            <w:r>
              <w:rPr>
                <w:rFonts w:hint="eastAsia" w:ascii="宋体" w:hAnsi="宋体" w:eastAsia="宋体" w:cs="Times New Roman"/>
                <w:bCs/>
                <w:sz w:val="21"/>
                <w:szCs w:val="24"/>
              </w:rPr>
              <w:t>2.非煤矿山、金属冶炼、建材、危险化学品生产</w:t>
            </w:r>
            <w:r>
              <w:rPr>
                <w:rFonts w:hint="eastAsia" w:ascii="宋体" w:hAnsi="宋体" w:eastAsia="宋体" w:cs="Times New Roman"/>
                <w:bCs/>
                <w:sz w:val="21"/>
                <w:szCs w:val="24"/>
                <w:lang w:bidi="ar"/>
              </w:rPr>
              <w:t>和</w:t>
            </w:r>
            <w:r>
              <w:rPr>
                <w:rFonts w:hint="eastAsia" w:ascii="宋体" w:hAnsi="宋体" w:eastAsia="宋体" w:cs="Times New Roman"/>
                <w:bCs/>
                <w:sz w:val="21"/>
                <w:szCs w:val="24"/>
              </w:rPr>
              <w:t>医疗机构放射性职业病危害等重点行业领域新增建设项目“三同时”实施率达到90%以上，监督检查覆盖率达到90%以上，职业健康违法违规行为有所减少。</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eastAsia" w:ascii="宋体" w:hAnsi="宋体" w:eastAsia="宋体" w:cs="Times New Roman"/>
                <w:bCs/>
                <w:sz w:val="21"/>
                <w:szCs w:val="24"/>
              </w:rPr>
            </w:pPr>
          </w:p>
        </w:tc>
        <w:tc>
          <w:tcPr>
            <w:tcW w:w="3750"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eastAsia" w:ascii="宋体" w:hAnsi="宋体" w:eastAsia="宋体" w:cs="Times New Roman"/>
                <w:bCs/>
                <w:sz w:val="21"/>
                <w:szCs w:val="24"/>
              </w:rPr>
            </w:pPr>
            <w:r>
              <w:rPr>
                <w:rFonts w:hint="eastAsia" w:ascii="宋体" w:hAnsi="宋体" w:eastAsia="宋体" w:cs="Times New Roman"/>
                <w:bCs/>
                <w:sz w:val="21"/>
                <w:szCs w:val="24"/>
              </w:rPr>
              <w:t>1.加强粉尘危害治理</w:t>
            </w:r>
            <w:r>
              <w:rPr>
                <w:rFonts w:hint="eastAsia" w:ascii="宋体" w:hAnsi="宋体" w:eastAsia="宋体" w:cs="Times New Roman"/>
                <w:bCs/>
                <w:sz w:val="21"/>
                <w:szCs w:val="24"/>
                <w:lang w:eastAsia="zh-CN"/>
              </w:rPr>
              <w:t>。</w:t>
            </w:r>
            <w:r>
              <w:rPr>
                <w:rFonts w:hint="eastAsia" w:ascii="宋体" w:hAnsi="宋体" w:eastAsia="宋体" w:cs="Times New Roman"/>
                <w:bCs/>
                <w:sz w:val="21"/>
                <w:szCs w:val="24"/>
              </w:rPr>
              <w:t>接尘工龄不足5年的劳动者新发尘肺病报告例数占年度报告总例数的比例下降为25%（省卫生健康委负责）</w:t>
            </w:r>
            <w:r>
              <w:rPr>
                <w:rFonts w:hint="eastAsia" w:ascii="宋体" w:hAnsi="宋体" w:eastAsia="宋体" w:cs="Times New Roman"/>
                <w:bCs/>
                <w:sz w:val="21"/>
                <w:szCs w:val="24"/>
                <w:lang w:eastAsia="zh-CN"/>
              </w:rPr>
              <w:t>，</w:t>
            </w:r>
            <w:r>
              <w:rPr>
                <w:rFonts w:hint="eastAsia" w:ascii="宋体" w:hAnsi="宋体" w:eastAsia="宋体" w:cs="Times New Roman"/>
                <w:bCs/>
                <w:sz w:val="21"/>
                <w:szCs w:val="24"/>
              </w:rPr>
              <w:t>不具备安全生产条件（省应急管理厅负责）、不满足环保要求（省生态环境厅负责）的小矿山、小水泥、小金属冶炼、小陶瓷、小石材加工明显消除。</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eastAsia" w:ascii="宋体" w:hAnsi="宋体" w:eastAsia="宋体" w:cs="Times New Roman"/>
                <w:bCs/>
                <w:sz w:val="21"/>
                <w:szCs w:val="24"/>
                <w:shd w:val="clear" w:color="auto" w:fill="FFFFFF"/>
              </w:rPr>
            </w:pPr>
            <w:r>
              <w:rPr>
                <w:rFonts w:hint="eastAsia" w:ascii="宋体" w:hAnsi="宋体" w:eastAsia="宋体" w:cs="Times New Roman"/>
                <w:bCs/>
                <w:sz w:val="21"/>
                <w:szCs w:val="24"/>
              </w:rPr>
              <w:t>2.非煤矿山、金属冶炼、建材、危险化学品生产</w:t>
            </w:r>
            <w:r>
              <w:rPr>
                <w:rFonts w:hint="eastAsia" w:ascii="宋体" w:hAnsi="宋体" w:eastAsia="宋体" w:cs="Times New Roman"/>
                <w:bCs/>
                <w:sz w:val="21"/>
                <w:szCs w:val="24"/>
                <w:lang w:bidi="ar"/>
              </w:rPr>
              <w:t>和</w:t>
            </w:r>
            <w:r>
              <w:rPr>
                <w:rFonts w:hint="eastAsia" w:ascii="宋体" w:hAnsi="宋体" w:eastAsia="宋体" w:cs="Times New Roman"/>
                <w:bCs/>
                <w:sz w:val="21"/>
                <w:szCs w:val="24"/>
              </w:rPr>
              <w:t>医疗机构放射性职业病危害等重点行业领域新增建设项目“三同时”实施率达到95%以上，监督检查覆盖率达到95%以上，职业健康违法违规行为明显减少。</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宋体" w:hAnsi="宋体" w:eastAsia="宋体" w:cs="Times New Roman"/>
                <w:bCs/>
                <w:sz w:val="21"/>
                <w:szCs w:val="24"/>
              </w:rPr>
            </w:pPr>
            <w:r>
              <w:rPr>
                <w:rFonts w:hint="eastAsia" w:ascii="宋体" w:hAnsi="宋体" w:eastAsia="宋体" w:cs="Times New Roman"/>
                <w:bCs/>
                <w:sz w:val="21"/>
                <w:szCs w:val="24"/>
              </w:rPr>
              <w:t>1.加强粉尘危害治理</w:t>
            </w:r>
            <w:r>
              <w:rPr>
                <w:rFonts w:hint="eastAsia" w:ascii="宋体" w:hAnsi="宋体" w:eastAsia="宋体" w:cs="Times New Roman"/>
                <w:bCs/>
                <w:sz w:val="21"/>
                <w:szCs w:val="24"/>
                <w:lang w:eastAsia="zh-CN"/>
              </w:rPr>
              <w:t>。</w:t>
            </w:r>
            <w:r>
              <w:rPr>
                <w:rFonts w:hint="eastAsia" w:ascii="宋体" w:hAnsi="宋体" w:eastAsia="宋体" w:cs="Times New Roman"/>
                <w:bCs/>
                <w:sz w:val="21"/>
                <w:szCs w:val="24"/>
              </w:rPr>
              <w:t>接尘工龄不足5年的劳动者新发尘肺病报告例数占年度报告总例数的比例下降为20%（省卫生健康委负责）</w:t>
            </w:r>
            <w:r>
              <w:rPr>
                <w:rFonts w:hint="eastAsia" w:ascii="宋体" w:hAnsi="宋体" w:eastAsia="宋体" w:cs="Times New Roman"/>
                <w:bCs/>
                <w:sz w:val="21"/>
                <w:szCs w:val="24"/>
                <w:lang w:eastAsia="zh-CN"/>
              </w:rPr>
              <w:t>，</w:t>
            </w:r>
            <w:r>
              <w:rPr>
                <w:rFonts w:hint="eastAsia" w:ascii="宋体" w:hAnsi="宋体" w:eastAsia="宋体" w:cs="Times New Roman"/>
                <w:bCs/>
                <w:sz w:val="21"/>
                <w:szCs w:val="24"/>
              </w:rPr>
              <w:t>不具备安全生产条件（省应急管理厅负责）、不满足环保要求（省生态环境厅负责）的小矿山、小水泥、小金属冶炼、小陶瓷、小石材加工基本没有。</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eastAsia" w:ascii="宋体" w:hAnsi="宋体" w:eastAsia="宋体" w:cs="Times New Roman"/>
                <w:bCs/>
                <w:sz w:val="21"/>
                <w:szCs w:val="24"/>
                <w:shd w:val="clear" w:color="auto" w:fill="FFFFFF"/>
              </w:rPr>
            </w:pPr>
            <w:r>
              <w:rPr>
                <w:rFonts w:hint="eastAsia" w:ascii="宋体" w:hAnsi="宋体" w:eastAsia="宋体" w:cs="Times New Roman"/>
                <w:bCs/>
                <w:sz w:val="21"/>
                <w:szCs w:val="24"/>
              </w:rPr>
              <w:t>2.非煤矿山、金属冶炼、建材、危险化学品生产</w:t>
            </w:r>
            <w:r>
              <w:rPr>
                <w:rFonts w:hint="eastAsia" w:ascii="宋体" w:hAnsi="宋体" w:eastAsia="宋体" w:cs="Times New Roman"/>
                <w:bCs/>
                <w:sz w:val="21"/>
                <w:szCs w:val="24"/>
                <w:lang w:bidi="ar"/>
              </w:rPr>
              <w:t>和</w:t>
            </w:r>
            <w:r>
              <w:rPr>
                <w:rFonts w:hint="eastAsia" w:ascii="宋体" w:hAnsi="宋体" w:eastAsia="宋体" w:cs="Times New Roman"/>
                <w:bCs/>
                <w:sz w:val="21"/>
                <w:szCs w:val="24"/>
              </w:rPr>
              <w:t>医疗机构放射性职业病危害等重点行业领域新增建设项目“三同时”实施率基本达到100%，监督检查覆盖率基本达到100%，职业健康违法违规行为大幅减少。</w:t>
            </w:r>
          </w:p>
        </w:tc>
        <w:tc>
          <w:tcPr>
            <w:tcW w:w="1949"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宋体" w:hAnsi="宋体" w:eastAsia="宋体" w:cs="Times New Roman"/>
                <w:bCs/>
                <w:sz w:val="21"/>
                <w:szCs w:val="24"/>
              </w:rPr>
            </w:pPr>
            <w:r>
              <w:rPr>
                <w:rFonts w:hint="eastAsia" w:ascii="宋体" w:hAnsi="宋体" w:eastAsia="宋体" w:cs="Times New Roman"/>
                <w:bCs/>
                <w:sz w:val="21"/>
                <w:szCs w:val="24"/>
              </w:rPr>
              <w:t>省卫生健康委牵头统筹</w:t>
            </w:r>
            <w:r>
              <w:rPr>
                <w:rFonts w:hint="eastAsia" w:ascii="宋体" w:hAnsi="宋体" w:eastAsia="宋体" w:cs="Times New Roman"/>
                <w:bCs/>
                <w:sz w:val="21"/>
                <w:szCs w:val="24"/>
                <w:lang w:eastAsia="zh-CN"/>
              </w:rPr>
              <w:t>负责</w:t>
            </w:r>
            <w:r>
              <w:rPr>
                <w:rFonts w:hint="eastAsia" w:ascii="宋体" w:hAnsi="宋体" w:eastAsia="宋体" w:cs="Times New Roman"/>
                <w:bCs/>
                <w:sz w:val="21"/>
                <w:szCs w:val="24"/>
              </w:rPr>
              <w:t>，省生态环境厅、应急管理厅、自然资源厅、市场监管局、国资委等单位按职责负责，各地级以上市人民政府落实属地责任。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atLeast"/>
          <w:jc w:val="center"/>
        </w:trPr>
        <w:tc>
          <w:tcPr>
            <w:tcW w:w="151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eastAsia" w:ascii="宋体" w:hAnsi="宋体" w:eastAsia="宋体" w:cs="Times New Roman"/>
                <w:bCs/>
                <w:sz w:val="21"/>
                <w:szCs w:val="24"/>
              </w:rPr>
            </w:pPr>
            <w:r>
              <w:rPr>
                <w:rFonts w:hint="eastAsia" w:ascii="宋体" w:hAnsi="宋体" w:eastAsia="宋体" w:cs="Times New Roman"/>
                <w:bCs/>
                <w:sz w:val="21"/>
                <w:szCs w:val="24"/>
              </w:rPr>
              <w:t>四、提升职业病危害事故应急处置能力</w:t>
            </w:r>
          </w:p>
        </w:tc>
        <w:tc>
          <w:tcPr>
            <w:tcW w:w="391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eastAsia" w:ascii="宋体" w:hAnsi="宋体" w:eastAsia="宋体" w:cs="Times New Roman"/>
                <w:bCs/>
                <w:sz w:val="21"/>
                <w:szCs w:val="24"/>
              </w:rPr>
            </w:pPr>
            <w:r>
              <w:rPr>
                <w:rFonts w:hint="eastAsia" w:ascii="宋体" w:hAnsi="宋体" w:eastAsia="宋体" w:cs="Times New Roman"/>
                <w:bCs/>
                <w:sz w:val="21"/>
                <w:szCs w:val="24"/>
              </w:rPr>
              <w:t>在全省建立6个化学中毒应急救援分中心，在深圳、惠州、阳江、江门、汕尾等核电站所在地建立核辐射应急救援基地。</w:t>
            </w:r>
          </w:p>
        </w:tc>
        <w:tc>
          <w:tcPr>
            <w:tcW w:w="3750"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宋体" w:hAnsi="宋体" w:eastAsia="宋体" w:cs="Times New Roman"/>
                <w:bCs/>
                <w:sz w:val="21"/>
                <w:szCs w:val="24"/>
              </w:rPr>
            </w:pPr>
            <w:r>
              <w:rPr>
                <w:rFonts w:hint="eastAsia" w:ascii="宋体" w:hAnsi="宋体" w:eastAsia="宋体" w:cs="Times New Roman"/>
                <w:bCs/>
                <w:sz w:val="21"/>
                <w:szCs w:val="24"/>
              </w:rPr>
              <w:t>在全省建立8个化学中毒应急救援分中心，在核电站所在地建立核辐射应急救援基地。</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宋体" w:hAnsi="宋体" w:eastAsia="宋体" w:cs="Times New Roman"/>
                <w:bCs/>
                <w:sz w:val="21"/>
                <w:szCs w:val="24"/>
              </w:rPr>
            </w:pPr>
            <w:r>
              <w:rPr>
                <w:rFonts w:hint="eastAsia" w:ascii="宋体" w:hAnsi="宋体" w:eastAsia="宋体" w:cs="Times New Roman"/>
                <w:bCs/>
                <w:sz w:val="21"/>
                <w:szCs w:val="24"/>
              </w:rPr>
              <w:t>在全省建立10个化学中毒应急救援分中心，在核电站所在地建立核辐射应急救援基地。</w:t>
            </w:r>
          </w:p>
        </w:tc>
        <w:tc>
          <w:tcPr>
            <w:tcW w:w="1949"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宋体" w:hAnsi="宋体" w:eastAsia="宋体" w:cs="Times New Roman"/>
                <w:bCs/>
                <w:sz w:val="21"/>
                <w:szCs w:val="24"/>
              </w:rPr>
            </w:pPr>
            <w:r>
              <w:rPr>
                <w:rFonts w:hint="eastAsia" w:ascii="宋体" w:hAnsi="宋体" w:eastAsia="宋体" w:cs="Times New Roman"/>
                <w:bCs/>
                <w:sz w:val="21"/>
                <w:szCs w:val="24"/>
              </w:rPr>
              <w:t>省卫生健康委牵头统筹</w:t>
            </w:r>
            <w:r>
              <w:rPr>
                <w:rFonts w:hint="eastAsia" w:ascii="宋体" w:hAnsi="宋体" w:eastAsia="宋体" w:cs="Times New Roman"/>
                <w:bCs/>
                <w:sz w:val="21"/>
                <w:szCs w:val="24"/>
                <w:lang w:eastAsia="zh-CN"/>
              </w:rPr>
              <w:t>负责</w:t>
            </w:r>
            <w:r>
              <w:rPr>
                <w:rFonts w:hint="eastAsia" w:ascii="宋体" w:hAnsi="宋体" w:eastAsia="宋体" w:cs="Times New Roman"/>
                <w:bCs/>
                <w:sz w:val="21"/>
                <w:szCs w:val="24"/>
              </w:rPr>
              <w:t>，省发展改革委、财政厅、应急管理厅等单位按职责负责，各地级以上市人民政府落实属地责任。</w:t>
            </w:r>
          </w:p>
        </w:tc>
      </w:tr>
    </w:tbl>
    <w:p/>
    <w:sectPr>
      <w:pgSz w:w="16838" w:h="11906" w:orient="landscape"/>
      <w:pgMar w:top="1531" w:right="2041" w:bottom="1531" w:left="204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763B4"/>
    <w:rsid w:val="223B789B"/>
    <w:rsid w:val="3BA763B4"/>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2019-05-23T07:53:00Z</dcterms:created>
  <dc:creator>Administrator</dc:creator>
  <cp:lastModifiedBy>Administrator</cp:lastModifiedBy>
  <dcterms:modified xsi:type="dcterms:W3CDTF">2019-05-23T07:54:00Z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