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hint="default" w:ascii="Times New Roman" w:hAnsi="Times New Roman" w:eastAsia="黑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line="360" w:lineRule="auto"/>
        <w:jc w:val="center"/>
        <w:rPr>
          <w:rFonts w:hint="default" w:ascii="Times New Roman" w:hAnsi="Times New Roman" w:eastAsia="楷体_GB2312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黑体" w:cs="Times New Roman"/>
          <w:b w:val="0"/>
          <w:bCs w:val="0"/>
          <w:sz w:val="44"/>
          <w:szCs w:val="44"/>
        </w:rPr>
        <w:t xml:space="preserve"> </w:t>
      </w: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lang w:val="en-US" w:eastAsia="zh-CN" w:bidi="ar-SA"/>
        </w:rPr>
        <w:t>医联体综合绩效考核指标体系</w:t>
      </w:r>
      <w:bookmarkEnd w:id="0"/>
      <w:r>
        <w:rPr>
          <w:rFonts w:hint="default" w:ascii="Times New Roman" w:hAnsi="Times New Roman" w:eastAsia="楷体_GB2312" w:cs="Times New Roman"/>
          <w:b w:val="0"/>
          <w:bCs w:val="0"/>
          <w:color w:val="000000"/>
          <w:kern w:val="0"/>
          <w:sz w:val="44"/>
          <w:szCs w:val="44"/>
          <w:lang w:val="en-US" w:eastAsia="zh-CN" w:bidi="ar-SA"/>
        </w:rPr>
        <w:t>（医联体）</w:t>
      </w:r>
    </w:p>
    <w:tbl>
      <w:tblPr>
        <w:tblStyle w:val="4"/>
        <w:tblW w:w="15983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401"/>
        <w:gridCol w:w="489"/>
        <w:gridCol w:w="3833"/>
        <w:gridCol w:w="405"/>
        <w:gridCol w:w="8025"/>
        <w:gridCol w:w="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tblHeader/>
        </w:trPr>
        <w:tc>
          <w:tcPr>
            <w:tcW w:w="1170" w:type="dxa"/>
            <w:shd w:val="clear" w:color="auto" w:fill="BEBEB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1"/>
              </w:rPr>
              <w:t>一级指标</w:t>
            </w:r>
          </w:p>
        </w:tc>
        <w:tc>
          <w:tcPr>
            <w:tcW w:w="1401" w:type="dxa"/>
            <w:shd w:val="clear" w:color="auto" w:fill="BEBEB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1"/>
              </w:rPr>
              <w:t>二级指标</w:t>
            </w:r>
          </w:p>
        </w:tc>
        <w:tc>
          <w:tcPr>
            <w:tcW w:w="489" w:type="dxa"/>
            <w:shd w:val="clear" w:color="auto" w:fill="BEBEB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1"/>
              </w:rPr>
              <w:t>序号</w:t>
            </w:r>
          </w:p>
        </w:tc>
        <w:tc>
          <w:tcPr>
            <w:tcW w:w="3833" w:type="dxa"/>
            <w:shd w:val="clear" w:color="auto" w:fill="BEBEB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1"/>
              </w:rPr>
              <w:t>三级指标</w:t>
            </w:r>
          </w:p>
        </w:tc>
        <w:tc>
          <w:tcPr>
            <w:tcW w:w="405" w:type="dxa"/>
            <w:shd w:val="clear" w:color="auto" w:fill="BEBEB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1"/>
              </w:rPr>
              <w:t>总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1"/>
              </w:rPr>
              <w:t>分值</w:t>
            </w:r>
          </w:p>
        </w:tc>
        <w:tc>
          <w:tcPr>
            <w:tcW w:w="8025" w:type="dxa"/>
            <w:shd w:val="clear" w:color="auto" w:fill="BEBEB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1"/>
              </w:rPr>
              <w:t>评分方法</w:t>
            </w:r>
          </w:p>
        </w:tc>
        <w:tc>
          <w:tcPr>
            <w:tcW w:w="660" w:type="dxa"/>
            <w:shd w:val="clear" w:color="auto" w:fill="BEBEB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1"/>
              </w:rPr>
              <w:t>自评分值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  <w:t>1.组织实施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  <w:t>（15分）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highlight w:val="none"/>
              </w:rPr>
              <w:t>1.1完善制度</w:t>
            </w:r>
          </w:p>
        </w:tc>
        <w:tc>
          <w:tcPr>
            <w:tcW w:w="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highlight w:val="none"/>
              </w:rPr>
              <w:t>1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highlight w:val="none"/>
              </w:rPr>
              <w:t>医联体建设的工作方案出台情况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8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1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highlight w:val="none"/>
              </w:rPr>
              <w:t>制定医联体建设工作方案，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highlight w:val="none"/>
              </w:rPr>
              <w:t>0%得分；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1"/>
                <w:highlight w:val="none"/>
                <w:lang w:val="en-US" w:eastAsia="zh-CN"/>
              </w:rPr>
              <w:t>（2）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2"/>
                <w:szCs w:val="21"/>
                <w:highlight w:val="none"/>
              </w:rPr>
              <w:t>组建为一个独立法人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highlight w:val="none"/>
              </w:rPr>
              <w:t>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highlight w:val="none"/>
              </w:rPr>
              <w:t>0%得分。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</w:p>
        </w:tc>
        <w:tc>
          <w:tcPr>
            <w:tcW w:w="140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highlight w:val="none"/>
              </w:rPr>
              <w:t>1.2规划实施</w:t>
            </w:r>
          </w:p>
        </w:tc>
        <w:tc>
          <w:tcPr>
            <w:tcW w:w="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highlight w:val="none"/>
              </w:rPr>
              <w:t>2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highlight w:val="none"/>
              </w:rPr>
              <w:t>医联体组成情况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highlight w:val="none"/>
              </w:rPr>
              <w:t>3</w:t>
            </w:r>
          </w:p>
        </w:tc>
        <w:tc>
          <w:tcPr>
            <w:tcW w:w="8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1"/>
                <w:highlight w:val="none"/>
                <w:lang w:val="en-US" w:eastAsia="zh-CN"/>
              </w:rPr>
              <w:t>（1）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highlight w:val="none"/>
              </w:rPr>
              <w:t>医联体内有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highlight w:val="none"/>
                <w:lang w:eastAsia="zh-CN"/>
              </w:rPr>
              <w:t>市、县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highlight w:val="none"/>
              </w:rPr>
              <w:t>级医院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highlight w:val="none"/>
                <w:lang w:eastAsia="zh-CN"/>
              </w:rPr>
              <w:t>（含中医院）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highlight w:val="none"/>
              </w:rPr>
              <w:t>、专科医院和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highlight w:val="none"/>
                <w:lang w:eastAsia="zh-CN"/>
              </w:rPr>
              <w:t>基层医疗机构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highlight w:val="none"/>
              </w:rPr>
              <w:t>，40%得分；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1"/>
                <w:highlight w:val="none"/>
                <w:lang w:val="en-US" w:eastAsia="zh-CN"/>
              </w:rPr>
              <w:t>（2）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highlight w:val="none"/>
              </w:rPr>
              <w:t>医联体内还包括专业公共卫生机构（如妇幼保健院、专科疾病防治院所等）或其他医疗卫生机构（如康复院、老人院等），40%得分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1"/>
                <w:highlight w:val="none"/>
                <w:lang w:val="en-US" w:eastAsia="zh-CN"/>
              </w:rPr>
              <w:t>（3）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highlight w:val="none"/>
              </w:rPr>
              <w:t>包括社会力量举办的医疗机构、护理院或康复医院，20%得分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  <w:t>1.3人员激励</w:t>
            </w:r>
          </w:p>
        </w:tc>
        <w:tc>
          <w:tcPr>
            <w:tcW w:w="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  <w:t>3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  <w:t>制定与医联体相适应的绩效工资政策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8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  <w:t>（1）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  <w:t>医联体内统筹薪酬分配，50%得分；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  <w:t>（2）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  <w:t>制定有利于人员向基层倾斜的绩效工资政策，50%得分。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1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  <w:t>1.4考核激励</w:t>
            </w:r>
          </w:p>
        </w:tc>
        <w:tc>
          <w:tcPr>
            <w:tcW w:w="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  <w:t>4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  <w:t>医联体内促进医疗资源整合和下沉的考核和激励机制建立情况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  <w:t>3</w:t>
            </w:r>
          </w:p>
        </w:tc>
        <w:tc>
          <w:tcPr>
            <w:tcW w:w="8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  <w:t>（1）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  <w:t>医联体内统一人事、财务和设备等医疗资源的管理，50%得分；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  <w:t>（2）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  <w:t>牵头医院医务人员下沉可获得额外绩效奖励或是考核/晋升职称的条件，50%得分。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  <w:t>2.分工协作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  <w:t>（12分）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</w:p>
        </w:tc>
        <w:tc>
          <w:tcPr>
            <w:tcW w:w="140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  <w:t>2.1建立协作制度</w:t>
            </w:r>
          </w:p>
        </w:tc>
        <w:tc>
          <w:tcPr>
            <w:tcW w:w="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  <w:t>5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  <w:t>医联体内建立医疗质量同质化管理制度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  <w:t>3</w:t>
            </w:r>
          </w:p>
        </w:tc>
        <w:tc>
          <w:tcPr>
            <w:tcW w:w="8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  <w:t>医联体内建立医疗质量同质化管理制度，100%得分。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</w:p>
        </w:tc>
        <w:tc>
          <w:tcPr>
            <w:tcW w:w="14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</w:p>
        </w:tc>
        <w:tc>
          <w:tcPr>
            <w:tcW w:w="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  <w:t>6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  <w:t>医联体建立双向转诊标准与程序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  <w:t>3</w:t>
            </w:r>
          </w:p>
        </w:tc>
        <w:tc>
          <w:tcPr>
            <w:tcW w:w="8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  <w:t>（1）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  <w:t>规范化双向转诊程序，50%得分；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  <w:t>（1）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  <w:t>规范化双向转诊标准/指征，50%得分。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1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</w:p>
        </w:tc>
        <w:tc>
          <w:tcPr>
            <w:tcW w:w="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  <w:t>7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eastAsia="zh-CN"/>
              </w:rPr>
              <w:t>医联体建立药学服务联合协作工作制度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  <w:t>3</w:t>
            </w:r>
          </w:p>
        </w:tc>
        <w:tc>
          <w:tcPr>
            <w:tcW w:w="8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eastAsia="zh-CN"/>
              </w:rPr>
              <w:t>医联体建立药学服务联合协作工作制度，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  <w:t>100%得分。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170" w:type="dxa"/>
            <w:vMerge w:val="continue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</w:rPr>
            </w:pPr>
          </w:p>
        </w:tc>
        <w:tc>
          <w:tcPr>
            <w:tcW w:w="140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  <w:t>2.2连续性医疗服务</w:t>
            </w:r>
          </w:p>
        </w:tc>
        <w:tc>
          <w:tcPr>
            <w:tcW w:w="48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  <w:t>8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  <w:t>为患者提供全流程的健康连续性服务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  <w:t>3</w:t>
            </w:r>
          </w:p>
        </w:tc>
        <w:tc>
          <w:tcPr>
            <w:tcW w:w="8025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ind w:left="0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  <w:t>机构的功能定位和职能分工中涵盖上述服务，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eastAsia="zh-CN"/>
              </w:rPr>
              <w:t>共同</w:t>
            </w:r>
            <w:r>
              <w:rPr>
                <w:rFonts w:hint="default" w:ascii="Times New Roman" w:hAnsi="Times New Roman" w:eastAsia="宋体" w:cs="Times New Roman"/>
                <w:sz w:val="22"/>
                <w:szCs w:val="21"/>
                <w:lang w:val="zh-CN"/>
              </w:rPr>
              <w:t>落实</w:t>
            </w:r>
            <w:r>
              <w:rPr>
                <w:rFonts w:hint="default" w:ascii="Times New Roman" w:hAnsi="Times New Roman" w:eastAsia="宋体" w:cs="Times New Roman"/>
                <w:sz w:val="22"/>
                <w:szCs w:val="21"/>
                <w:lang w:val="zh-CN" w:eastAsia="zh-CN"/>
              </w:rPr>
              <w:t>好</w:t>
            </w:r>
            <w:r>
              <w:rPr>
                <w:rFonts w:hint="default" w:ascii="Times New Roman" w:hAnsi="Times New Roman" w:eastAsia="宋体" w:cs="Times New Roman"/>
                <w:sz w:val="22"/>
                <w:szCs w:val="21"/>
                <w:lang w:val="zh-CN"/>
              </w:rPr>
              <w:t>生育全程基本医疗保健服务</w:t>
            </w:r>
            <w:r>
              <w:rPr>
                <w:rFonts w:hint="default" w:ascii="Times New Roman" w:hAnsi="Times New Roman" w:eastAsia="宋体" w:cs="Times New Roman"/>
                <w:sz w:val="22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  <w:t>100%得分。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70" w:type="dxa"/>
            <w:vMerge w:val="continue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</w:rPr>
            </w:pPr>
          </w:p>
        </w:tc>
        <w:tc>
          <w:tcPr>
            <w:tcW w:w="140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</w:p>
        </w:tc>
        <w:tc>
          <w:tcPr>
            <w:tcW w:w="48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  <w:t>9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  <w:t>上级医院对转诊患者提供优先接诊、优先检查、优先住院等服务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  <w:t>2</w:t>
            </w:r>
          </w:p>
        </w:tc>
        <w:tc>
          <w:tcPr>
            <w:tcW w:w="8025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  <w:t>（1）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  <w:t>上级医院制度规定对转诊患者提供优先接诊、检查和住院服务，50%得分；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  <w:t>（2）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  <w:t>上级医院为转诊患者设置绿色通道以便接诊、检查和住院，50%得分。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70" w:type="dxa"/>
            <w:vMerge w:val="continue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  <w:t>3.1基层帮扶</w:t>
            </w:r>
          </w:p>
        </w:tc>
        <w:tc>
          <w:tcPr>
            <w:tcW w:w="48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  <w:t>0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  <w:t>医联体内上级医院派医务人员到基层医疗机构开展专科共建、临床带教、医疗和公卫业务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eastAsia="zh-CN"/>
              </w:rPr>
              <w:t>培训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  <w:t>、教学查房、科研和项目协作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eastAsia="zh-CN"/>
              </w:rPr>
              <w:t>、高级人才培养、设立慢病联合门诊及联动病床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  <w:t>等业务情况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u w:val="none"/>
              </w:rPr>
              <w:t>3</w:t>
            </w:r>
          </w:p>
        </w:tc>
        <w:tc>
          <w:tcPr>
            <w:tcW w:w="8025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1"/>
                <w:highlight w:val="none"/>
                <w:lang w:val="en-US" w:eastAsia="zh-CN"/>
              </w:rPr>
              <w:t>（1）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highlight w:val="none"/>
              </w:rPr>
              <w:t>医联体牵头医院与成员机构间制定专科共建、临床带教、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  <w:t>医疗和公卫业务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eastAsia="zh-CN"/>
              </w:rPr>
              <w:t>培训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  <w:t>、教学查房、科研和项目协作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eastAsia="zh-CN"/>
              </w:rPr>
              <w:t>、高级人才培养、设立慢病联合门诊及联动病床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highlight w:val="none"/>
              </w:rPr>
              <w:t>等业务合作的制度，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highlight w:val="none"/>
              </w:rPr>
              <w:t>0%得分；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1"/>
                <w:highlight w:val="none"/>
                <w:lang w:val="en-US" w:eastAsia="zh-CN"/>
              </w:rPr>
              <w:t>（2）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highlight w:val="none"/>
              </w:rPr>
              <w:t>医联体牵头医院与成员机构间实际开展专科共建、临床带教、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  <w:t>医疗和公卫业务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eastAsia="zh-CN"/>
              </w:rPr>
              <w:t>培训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  <w:t>、教学查房、科研和项目协作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eastAsia="zh-CN"/>
              </w:rPr>
              <w:t>、高级人才培养、设立慢病联合门诊及联动病床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  <w:t>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highlight w:val="none"/>
              </w:rPr>
              <w:t>业务合作，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highlight w:val="none"/>
              </w:rPr>
              <w:t>0%得分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70" w:type="dxa"/>
            <w:vMerge w:val="restart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  <w:t>3.医疗资源上下贯通（13分）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  <w:t>3.2统一信息平台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</w:p>
        </w:tc>
        <w:tc>
          <w:tcPr>
            <w:tcW w:w="48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  <w:t>1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  <w:t>医联体内电子健康档案和电子病历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  <w:t>电子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eastAsia="zh-CN"/>
              </w:rPr>
              <w:t>处方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  <w:t>的连续记录和居民健康信息共享情况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  <w:t>4</w:t>
            </w:r>
          </w:p>
        </w:tc>
        <w:tc>
          <w:tcPr>
            <w:tcW w:w="8025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  <w:t>（1）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  <w:t>医联体内医院具备电子健康档案和电子病历系统，20%得分；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  <w:t>（2）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  <w:t>医联体内社区卫生服务中心/乡镇卫生院具备电子健康档案和电子病历系统，20%得分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eastAsia="zh-CN"/>
              </w:rPr>
              <w:t>；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  <w:t>（3）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  <w:t>医联体内医院间电子病历系统联通，30%得分；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  <w:t>（4）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  <w:t>医联体内医院与社区卫生服务中心/乡镇卫生院间联通电子病历系统，30%得分。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1170" w:type="dxa"/>
            <w:vMerge w:val="continue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  <w:t>3.3区域资源共享</w:t>
            </w:r>
          </w:p>
        </w:tc>
        <w:tc>
          <w:tcPr>
            <w:tcW w:w="48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  <w:t>2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  <w:t>医联体内影像、检查检验、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药品供应、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  <w:t>消毒供应和后勤服务中心等共享及区域内建设情况，实现医联体内检查检验结果互认的机构数量及占比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  <w:t>4</w:t>
            </w:r>
          </w:p>
        </w:tc>
        <w:tc>
          <w:tcPr>
            <w:tcW w:w="8025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  <w:t>（1）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  <w:t>医联体内所有机构共享影像、检查检验、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药品供应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  <w:t>、消毒供应和后勤服务支持平台（医联体自建平台或社会化平台均可），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  <w:t>0%得分；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  <w:t>医联体内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1"/>
                <w:lang w:eastAsia="zh-CN"/>
              </w:rPr>
              <w:t>所有医疗机构之间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  <w:t>实现检查检验结果互认，30%得分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1"/>
                <w:lang w:eastAsia="zh-CN"/>
              </w:rPr>
              <w:t>；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  <w:t>（3）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  <w:t>医联体内医院间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eastAsia="zh-CN"/>
              </w:rPr>
              <w:t>药品衔接使用率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  <w:t>80%，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eastAsia="zh-CN"/>
              </w:rPr>
              <w:t>处方联合审查率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  <w:t>50%，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  <w:t>0%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  <w:t>得分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eastAsia="zh-CN"/>
              </w:rPr>
              <w:t>；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  <w:t>4.可持续发展（60分）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  <w:t>4.1利益共享</w:t>
            </w:r>
          </w:p>
        </w:tc>
        <w:tc>
          <w:tcPr>
            <w:tcW w:w="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  <w:t>3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  <w:t>医联体内建立利益共享机制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eastAsia="zh-CN"/>
              </w:rPr>
              <w:t>3</w:t>
            </w:r>
          </w:p>
        </w:tc>
        <w:tc>
          <w:tcPr>
            <w:tcW w:w="8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highlight w:val="none"/>
              </w:rPr>
              <w:t>医联体内制定利益分配方案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  <w:t>，100%得分。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170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</w:p>
        </w:tc>
        <w:tc>
          <w:tcPr>
            <w:tcW w:w="140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  <w:t>4.2双向转诊</w:t>
            </w:r>
          </w:p>
        </w:tc>
        <w:tc>
          <w:tcPr>
            <w:tcW w:w="48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  <w:t>14</w:t>
            </w:r>
          </w:p>
        </w:tc>
        <w:tc>
          <w:tcPr>
            <w:tcW w:w="3833" w:type="dxa"/>
            <w:noWrap w:val="0"/>
            <w:vAlign w:val="top"/>
          </w:tcPr>
          <w:p>
            <w:pPr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1"/>
                <w:lang w:eastAsia="zh-CN"/>
              </w:rPr>
              <w:t>居民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  <w:t>2周患病首选基层医疗卫生机构的比例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802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1"/>
                <w:highlight w:val="none"/>
                <w:lang w:val="en-US" w:eastAsia="zh-CN"/>
              </w:rPr>
              <w:t>医联体内居民2周患病首选基层医疗卫生机构的比例达到70%以上，得2分，否则不得分。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170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</w:p>
        </w:tc>
        <w:tc>
          <w:tcPr>
            <w:tcW w:w="140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</w:p>
        </w:tc>
        <w:tc>
          <w:tcPr>
            <w:tcW w:w="48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  <w:t>5</w:t>
            </w:r>
          </w:p>
        </w:tc>
        <w:tc>
          <w:tcPr>
            <w:tcW w:w="3833" w:type="dxa"/>
            <w:noWrap w:val="0"/>
            <w:vAlign w:val="top"/>
          </w:tcPr>
          <w:p>
            <w:pPr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  <w:t>基层医疗机构上转病人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1"/>
                <w:lang w:eastAsia="zh-CN"/>
              </w:rPr>
              <w:t>比例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8025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1"/>
                <w:highlight w:val="none"/>
                <w:lang w:val="en-US" w:eastAsia="zh-CN"/>
              </w:rPr>
              <w:t>医联体内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highlight w:val="none"/>
                <w:lang w:val="en-US" w:eastAsia="zh-CN"/>
              </w:rPr>
              <w:t>基层医疗机构上转率控制在合理范围内，得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highlight w:val="none"/>
                <w:lang w:val="en-US" w:eastAsia="zh-CN"/>
              </w:rPr>
              <w:t>分，否则不得分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1"/>
                <w:highlight w:val="none"/>
                <w:lang w:val="en-US" w:eastAsia="zh-CN"/>
              </w:rPr>
              <w:t>。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170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</w:p>
        </w:tc>
        <w:tc>
          <w:tcPr>
            <w:tcW w:w="140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</w:p>
        </w:tc>
        <w:tc>
          <w:tcPr>
            <w:tcW w:w="48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  <w:t>6</w:t>
            </w:r>
          </w:p>
        </w:tc>
        <w:tc>
          <w:tcPr>
            <w:tcW w:w="3833" w:type="dxa"/>
            <w:noWrap w:val="0"/>
            <w:vAlign w:val="top"/>
          </w:tcPr>
          <w:p>
            <w:pPr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  <w:t>上级医疗机构下转病人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1"/>
                <w:lang w:eastAsia="zh-CN"/>
              </w:rPr>
              <w:t>比例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8025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1"/>
                <w:highlight w:val="none"/>
                <w:lang w:eastAsia="zh-CN"/>
              </w:rPr>
              <w:t>医联体内二、三级医院向基层医疗卫生机构、接续性医疗机构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highlight w:val="none"/>
                <w:lang w:eastAsia="zh-CN"/>
              </w:rPr>
              <w:t>下转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1"/>
                <w:highlight w:val="none"/>
                <w:lang w:eastAsia="zh-CN"/>
              </w:rPr>
              <w:t>人数年增长率达到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1"/>
                <w:highlight w:val="none"/>
                <w:lang w:val="en-US" w:eastAsia="zh-CN"/>
              </w:rPr>
              <w:t>10%以上，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highlight w:val="none"/>
                <w:lang w:val="en-US" w:eastAsia="zh-CN"/>
              </w:rPr>
              <w:t>得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highlight w:val="none"/>
                <w:lang w:val="en-US" w:eastAsia="zh-CN"/>
              </w:rPr>
              <w:t>分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1"/>
                <w:highlight w:val="none"/>
                <w:lang w:val="en-US" w:eastAsia="zh-CN"/>
              </w:rPr>
              <w:t>，否则不得分。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170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</w:p>
        </w:tc>
        <w:tc>
          <w:tcPr>
            <w:tcW w:w="140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</w:p>
        </w:tc>
        <w:tc>
          <w:tcPr>
            <w:tcW w:w="48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  <w:t>7</w:t>
            </w:r>
          </w:p>
        </w:tc>
        <w:tc>
          <w:tcPr>
            <w:tcW w:w="3833" w:type="dxa"/>
            <w:noWrap w:val="0"/>
            <w:vAlign w:val="top"/>
          </w:tcPr>
          <w:p>
            <w:pPr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  <w:t>基层医疗机构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1"/>
                <w:lang w:eastAsia="zh-CN"/>
              </w:rPr>
              <w:t>诊疗量占比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8025" w:type="dxa"/>
            <w:noWrap w:val="0"/>
            <w:vAlign w:val="top"/>
          </w:tcPr>
          <w:p>
            <w:pPr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1"/>
                <w:highlight w:val="none"/>
                <w:lang w:eastAsia="zh-CN"/>
              </w:rPr>
              <w:t>基层医疗卫生机构诊疗量占总诊疗量比例达到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1"/>
                <w:highlight w:val="none"/>
                <w:lang w:val="en-US" w:eastAsia="zh-CN"/>
              </w:rPr>
              <w:t>65%以上，得3分，否则不得分。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70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</w:p>
        </w:tc>
        <w:tc>
          <w:tcPr>
            <w:tcW w:w="140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  <w:t>4.2辐射带动</w:t>
            </w:r>
          </w:p>
        </w:tc>
        <w:tc>
          <w:tcPr>
            <w:tcW w:w="48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  <w:t>8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  <w:t>医联体二级以上医院向基层医疗卫生机构派驻技术人员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u w:val="none"/>
              </w:rPr>
              <w:t>3</w:t>
            </w:r>
          </w:p>
        </w:tc>
        <w:tc>
          <w:tcPr>
            <w:tcW w:w="8025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highlight w:val="none"/>
              </w:rPr>
              <w:t>医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1"/>
                <w:highlight w:val="none"/>
                <w:lang w:eastAsia="zh-CN"/>
              </w:rPr>
              <w:t>联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highlight w:val="none"/>
              </w:rPr>
              <w:t>体二级以上医院派驻基层医疗机构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highlight w:val="none"/>
                <w:lang w:eastAsia="zh-CN"/>
              </w:rPr>
              <w:t>每年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highlight w:val="none"/>
              </w:rPr>
              <w:t>累计不少于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highlight w:val="none"/>
              </w:rPr>
              <w:t>名以上专家，工作时限不少于半年（可多名专家累计）80%得分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highlight w:val="none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highlight w:val="no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highlight w:val="none"/>
              </w:rPr>
              <w:t>名以上，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highlight w:val="none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highlight w:val="none"/>
              </w:rPr>
              <w:t>%得分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70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</w:p>
        </w:tc>
        <w:tc>
          <w:tcPr>
            <w:tcW w:w="140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</w:p>
        </w:tc>
        <w:tc>
          <w:tcPr>
            <w:tcW w:w="48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  <w:t>9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  <w:t>基层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1"/>
                <w:lang w:eastAsia="zh-CN"/>
              </w:rPr>
              <w:t>医务人员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  <w:t>到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eastAsia="zh-CN"/>
              </w:rPr>
              <w:t>医联体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  <w:t>上级医院进修学习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u w:val="none"/>
              </w:rPr>
              <w:t>3</w:t>
            </w:r>
          </w:p>
        </w:tc>
        <w:tc>
          <w:tcPr>
            <w:tcW w:w="8025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highlight w:val="none"/>
              </w:rPr>
              <w:t>每家基层医疗机构派往上级医院进修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1"/>
                <w:highlight w:val="none"/>
                <w:lang w:eastAsia="zh-CN"/>
              </w:rPr>
              <w:t>人员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highlight w:val="none"/>
                <w:lang w:eastAsia="zh-CN"/>
              </w:rPr>
              <w:t>每年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highlight w:val="none"/>
              </w:rPr>
              <w:t>累计不少于3名，每名不少于3个月（可多名累计计算），100%得分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70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</w:p>
        </w:tc>
        <w:tc>
          <w:tcPr>
            <w:tcW w:w="140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</w:p>
        </w:tc>
        <w:tc>
          <w:tcPr>
            <w:tcW w:w="48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  <w:t>20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  <w:t>牵头医院帮助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eastAsia="zh-CN"/>
              </w:rPr>
              <w:t>医联体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  <w:t>内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1"/>
                <w:lang w:eastAsia="zh-CN"/>
              </w:rPr>
              <w:t>下级医疗机构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  <w:t>开展新技术、新项目数量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u w:val="none"/>
              </w:rPr>
              <w:t>3</w:t>
            </w:r>
          </w:p>
        </w:tc>
        <w:tc>
          <w:tcPr>
            <w:tcW w:w="8025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  <w:t>牵头医院帮助医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1"/>
                <w:lang w:eastAsia="zh-CN"/>
              </w:rPr>
              <w:t>联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  <w:t>体内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1"/>
                <w:lang w:eastAsia="zh-CN"/>
              </w:rPr>
              <w:t>下级医疗机构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  <w:t>开展新技术、新项目数量每年不少于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  <w:t>项，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  <w:t>50%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  <w:t>得分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  <w:t>6项以上，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  <w:t>100%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eastAsia="zh-CN"/>
              </w:rPr>
              <w:t>得分。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70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</w:p>
        </w:tc>
        <w:tc>
          <w:tcPr>
            <w:tcW w:w="140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</w:p>
        </w:tc>
        <w:tc>
          <w:tcPr>
            <w:tcW w:w="48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  <w:t>1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eastAsia="zh-CN"/>
              </w:rPr>
              <w:t>牵头医院帮扶下级医疗机构专科（特色科室）建设的情况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  <w:t>3</w:t>
            </w:r>
          </w:p>
        </w:tc>
        <w:tc>
          <w:tcPr>
            <w:tcW w:w="8025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  <w:t>（1）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eastAsia="zh-CN"/>
              </w:rPr>
              <w:t>牵头医院与成员机构间制定帮扶专科（特色科室）建设的计划，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  <w:t>30%得分；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  <w:t>（2）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  <w:t>牵头医院实际帮扶成员机构开展专科（特色科室）建设，70%得分。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70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</w:p>
        </w:tc>
        <w:tc>
          <w:tcPr>
            <w:tcW w:w="140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</w:p>
        </w:tc>
        <w:tc>
          <w:tcPr>
            <w:tcW w:w="48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  <w:t>2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eastAsia="zh-CN"/>
              </w:rPr>
              <w:t>帮扶下级医疗机构提升管理能力情况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  <w:t>3</w:t>
            </w:r>
          </w:p>
        </w:tc>
        <w:tc>
          <w:tcPr>
            <w:tcW w:w="8025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  <w:t>（1）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eastAsia="zh-CN"/>
              </w:rPr>
              <w:t>规章制度或技术规范有完善，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  <w:t>70%得分；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  <w:t>（2）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  <w:t>医疗机构精神面貌有所改善，30%得分。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170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</w:p>
        </w:tc>
        <w:tc>
          <w:tcPr>
            <w:tcW w:w="140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</w:p>
        </w:tc>
        <w:tc>
          <w:tcPr>
            <w:tcW w:w="48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  <w:t>3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eastAsia="zh-CN"/>
              </w:rPr>
              <w:t>牵头医院门诊量及患者病种分布变化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  <w:t>3</w:t>
            </w:r>
          </w:p>
        </w:tc>
        <w:tc>
          <w:tcPr>
            <w:tcW w:w="8025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  <w:t>（1）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eastAsia="zh-CN"/>
              </w:rPr>
              <w:t>牵头医院门诊量每年同比下降，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  <w:t>50%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eastAsia="zh-CN"/>
              </w:rPr>
              <w:t>得分；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  <w:t>（2）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  <w:t>牵头医院CD型病例比例每年同比增长，50%得分。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70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</w:p>
        </w:tc>
        <w:tc>
          <w:tcPr>
            <w:tcW w:w="140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</w:p>
        </w:tc>
        <w:tc>
          <w:tcPr>
            <w:tcW w:w="48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  <w:t>4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eastAsia="zh-CN"/>
              </w:rPr>
              <w:t>牵头医院住院患者急、危重症患者比例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  <w:t>3</w:t>
            </w:r>
          </w:p>
        </w:tc>
        <w:tc>
          <w:tcPr>
            <w:tcW w:w="8025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eastAsia="zh-CN"/>
              </w:rPr>
              <w:t>牵头医院住院患者急、危重症患者比例每年同比增长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  <w:t>，100%得分。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70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</w:p>
        </w:tc>
        <w:tc>
          <w:tcPr>
            <w:tcW w:w="140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</w:p>
        </w:tc>
        <w:tc>
          <w:tcPr>
            <w:tcW w:w="48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  <w:t>5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eastAsia="zh-CN"/>
              </w:rPr>
              <w:t>牵头医院三、四级手术占比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  <w:t>3</w:t>
            </w:r>
          </w:p>
        </w:tc>
        <w:tc>
          <w:tcPr>
            <w:tcW w:w="8025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eastAsia="zh-CN"/>
              </w:rPr>
              <w:t>牵头医院三、四级手术占比每年同比增长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  <w:t>，100%得分。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170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</w:p>
        </w:tc>
        <w:tc>
          <w:tcPr>
            <w:tcW w:w="140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</w:p>
        </w:tc>
        <w:tc>
          <w:tcPr>
            <w:tcW w:w="48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  <w:t>6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eastAsia="zh-CN"/>
              </w:rPr>
              <w:t>成员单位门诊、住院、手术量及患者病种变化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  <w:t>3</w:t>
            </w:r>
          </w:p>
        </w:tc>
        <w:tc>
          <w:tcPr>
            <w:tcW w:w="8025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  <w:t>（1）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  <w:t>成员单位门诊、住院、手术量每年同比增长，50%得分；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  <w:t>（2）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eastAsia="zh-CN"/>
              </w:rPr>
              <w:t>成员单位病种种类每年同比增多，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  <w:t>50%得分。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170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  <w:t>4.3慢病管理</w:t>
            </w:r>
          </w:p>
        </w:tc>
        <w:tc>
          <w:tcPr>
            <w:tcW w:w="48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  <w:t>7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  <w:t>高血压、糖尿病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1"/>
                <w:lang w:eastAsia="zh-CN"/>
              </w:rPr>
              <w:t>、肺结核的规范化诊疗和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  <w:t>管理率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eastAsia="zh-CN"/>
              </w:rPr>
              <w:t>3</w:t>
            </w:r>
          </w:p>
        </w:tc>
        <w:tc>
          <w:tcPr>
            <w:tcW w:w="8025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1"/>
                <w:highlight w:val="none"/>
                <w:lang w:eastAsia="zh-CN"/>
              </w:rPr>
              <w:t>医联体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highlight w:val="none"/>
              </w:rPr>
              <w:t>内慢性病患者连续性管理，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糖尿病、高血压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规范化诊疗和管理率≧40%，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肺结核病规范化管理率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≧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80%，60%得分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；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糖尿病、高血压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规范化诊疗和管理率≧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0%，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肺结核病规范化管理率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≧9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0%，100%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得分；否则不得分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。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70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  <w:t>4.4健康宣教</w:t>
            </w:r>
          </w:p>
        </w:tc>
        <w:tc>
          <w:tcPr>
            <w:tcW w:w="48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  <w:t>8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  <w:t>医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1"/>
                <w:lang w:eastAsia="zh-CN"/>
              </w:rPr>
              <w:t>联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  <w:t>体内加强健康宣教，提升居民健康素养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  <w:t>2</w:t>
            </w:r>
          </w:p>
        </w:tc>
        <w:tc>
          <w:tcPr>
            <w:tcW w:w="8025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1"/>
                <w:highlight w:val="none"/>
                <w:lang w:eastAsia="zh-CN"/>
              </w:rPr>
              <w:t>医联体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highlight w:val="none"/>
              </w:rPr>
              <w:t>内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highlight w:val="none"/>
                <w:lang w:eastAsia="zh-CN"/>
              </w:rPr>
              <w:t>基层医疗机构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highlight w:val="none"/>
              </w:rPr>
              <w:t>管理居民健康素养逐步提升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highlight w:val="none"/>
              </w:rPr>
              <w:t>0%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highlight w:val="none"/>
                <w:lang w:eastAsia="zh-CN"/>
              </w:rPr>
              <w:t>得分。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170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</w:p>
        </w:tc>
        <w:tc>
          <w:tcPr>
            <w:tcW w:w="140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  <w:t>4.5经济负担</w:t>
            </w:r>
          </w:p>
        </w:tc>
        <w:tc>
          <w:tcPr>
            <w:tcW w:w="48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  <w:t>9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  <w:t>医联体二级以上医院平均住院日情况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u w:val="none"/>
              </w:rPr>
              <w:t>3</w:t>
            </w:r>
          </w:p>
        </w:tc>
        <w:tc>
          <w:tcPr>
            <w:tcW w:w="8025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highlight w:val="none"/>
              </w:rPr>
              <w:t>医联体二级以上医院平均住院日要逐步下降，同比每下降0.1天，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highlight w:val="none"/>
                <w:lang w:eastAsia="zh-CN"/>
              </w:rPr>
              <w:t>得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highlight w:val="none"/>
                <w:lang w:val="en-US" w:eastAsia="zh-CN"/>
              </w:rPr>
              <w:t>0.3分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highlight w:val="none"/>
              </w:rPr>
              <w:t>。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70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</w:p>
        </w:tc>
        <w:tc>
          <w:tcPr>
            <w:tcW w:w="140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</w:p>
        </w:tc>
        <w:tc>
          <w:tcPr>
            <w:tcW w:w="48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2"/>
                <w:szCs w:val="21"/>
                <w:lang w:val="en-US" w:eastAsia="zh-CN"/>
              </w:rPr>
              <w:t>30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2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2"/>
                <w:szCs w:val="21"/>
              </w:rPr>
              <w:t>医联体各医疗机构人均门诊费用和人均住院费用情况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2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2"/>
                <w:szCs w:val="21"/>
                <w:lang w:eastAsia="zh-CN"/>
              </w:rPr>
              <w:t>3</w:t>
            </w:r>
          </w:p>
        </w:tc>
        <w:tc>
          <w:tcPr>
            <w:tcW w:w="8025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2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2"/>
                <w:szCs w:val="21"/>
              </w:rPr>
              <w:t>医联体各医疗机构人均门诊费用和人均住院费用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2"/>
                <w:szCs w:val="21"/>
                <w:lang w:eastAsia="zh-CN"/>
              </w:rPr>
              <w:t>合理增长，控制在行政部门规定的涨幅范围内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2"/>
                <w:szCs w:val="21"/>
              </w:rPr>
              <w:t>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2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2"/>
                <w:szCs w:val="21"/>
              </w:rPr>
              <w:t>0%得分，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2"/>
                <w:szCs w:val="21"/>
                <w:lang w:eastAsia="zh-CN"/>
              </w:rPr>
              <w:t>否则不得分。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70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  <w:t>4.6明确责任</w:t>
            </w:r>
          </w:p>
        </w:tc>
        <w:tc>
          <w:tcPr>
            <w:tcW w:w="48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  <w:t>1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  <w:t>制定医联体章程或协议，明确核心医院与其他成员单位的责、权、利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  <w:t>4</w:t>
            </w:r>
          </w:p>
        </w:tc>
        <w:tc>
          <w:tcPr>
            <w:tcW w:w="8025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  <w:t>（1）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  <w:t>制定医联体章程，50%得分；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  <w:t>（2）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  <w:t>医联体章程中明确各机构的责权利，50%得分。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70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</w:p>
        </w:tc>
        <w:tc>
          <w:tcPr>
            <w:tcW w:w="140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  <w:t>4.7满意度</w:t>
            </w:r>
          </w:p>
        </w:tc>
        <w:tc>
          <w:tcPr>
            <w:tcW w:w="48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  <w:t>32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  <w:t>患者（门诊、住院、出院）满意度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  <w:t>4</w:t>
            </w:r>
          </w:p>
        </w:tc>
        <w:tc>
          <w:tcPr>
            <w:tcW w:w="8025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highlight w:val="none"/>
              </w:rPr>
              <w:t>患者总体满意度达60%，50%得分；患者总体满意度达85%，100%得分。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70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</w:p>
        </w:tc>
        <w:tc>
          <w:tcPr>
            <w:tcW w:w="140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</w:p>
        </w:tc>
        <w:tc>
          <w:tcPr>
            <w:tcW w:w="48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  <w:t>3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  <w:t>医务人员满意度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  <w:t>4</w:t>
            </w:r>
          </w:p>
        </w:tc>
        <w:tc>
          <w:tcPr>
            <w:tcW w:w="8025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highlight w:val="none"/>
              </w:rPr>
              <w:t>医务人员总体满意度达60%，50%得分；医务人员总体满意度达80%，100%得分。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170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  <w:t>5.附加分</w:t>
            </w:r>
          </w:p>
        </w:tc>
        <w:tc>
          <w:tcPr>
            <w:tcW w:w="1401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  <w:t>5.医保总额目标管理</w:t>
            </w:r>
          </w:p>
        </w:tc>
        <w:tc>
          <w:tcPr>
            <w:tcW w:w="48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</w:p>
        </w:tc>
        <w:tc>
          <w:tcPr>
            <w:tcW w:w="383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  <w:t>医联体内实行医保“总额管理，结余留用”机制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eastAsia="zh-CN"/>
              </w:rPr>
              <w:t>5</w:t>
            </w:r>
          </w:p>
        </w:tc>
        <w:tc>
          <w:tcPr>
            <w:tcW w:w="802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1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highlight w:val="none"/>
              </w:rPr>
              <w:t>医联体内有与医保部门签订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  <w:t>“总额管理，结余留用”书面协议，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  <w:t>50%得分；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eastAsia="zh-CN"/>
              </w:rPr>
              <w:t>医联体内实行医保“总额管理，结余留用”，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  <w:t>0%得分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  <w:lang w:eastAsia="zh-CN"/>
              </w:rPr>
              <w:t>。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sz w:val="22"/>
          <w:szCs w:val="21"/>
        </w:rPr>
      </w:pPr>
      <w:r>
        <w:rPr>
          <w:rFonts w:hint="default" w:ascii="Times New Roman" w:hAnsi="Times New Roman" w:eastAsia="宋体" w:cs="Times New Roman"/>
          <w:b w:val="0"/>
          <w:bCs w:val="0"/>
          <w:sz w:val="22"/>
          <w:szCs w:val="21"/>
        </w:rPr>
        <w:t>为佐证上述自评结果，请提交以下材料（如已制定）：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sz w:val="22"/>
          <w:szCs w:val="21"/>
        </w:rPr>
      </w:pPr>
      <w:r>
        <w:rPr>
          <w:rFonts w:hint="default" w:ascii="Times New Roman" w:hAnsi="Times New Roman" w:eastAsia="宋体" w:cs="Times New Roman"/>
          <w:b w:val="0"/>
          <w:bCs w:val="0"/>
          <w:sz w:val="22"/>
          <w:szCs w:val="21"/>
        </w:rPr>
        <w:t>（1）医联体建设工作方案；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sz w:val="22"/>
          <w:szCs w:val="21"/>
        </w:rPr>
      </w:pPr>
      <w:r>
        <w:rPr>
          <w:rFonts w:hint="default" w:ascii="Times New Roman" w:hAnsi="Times New Roman" w:eastAsia="宋体" w:cs="Times New Roman"/>
          <w:b w:val="0"/>
          <w:bCs w:val="0"/>
          <w:sz w:val="22"/>
          <w:szCs w:val="21"/>
        </w:rPr>
        <w:t>（2）医联体章程或协议；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sz w:val="22"/>
          <w:szCs w:val="21"/>
        </w:rPr>
      </w:pPr>
      <w:r>
        <w:rPr>
          <w:rFonts w:hint="default" w:ascii="Times New Roman" w:hAnsi="Times New Roman" w:eastAsia="宋体" w:cs="Times New Roman"/>
          <w:b w:val="0"/>
          <w:bCs w:val="0"/>
          <w:sz w:val="22"/>
          <w:szCs w:val="21"/>
        </w:rPr>
        <w:t>（3）医联体内机构协作相关制度文件（如双向转诊、人员流动、信息共享、同质化管理等）；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sz w:val="22"/>
          <w:szCs w:val="21"/>
        </w:rPr>
      </w:pPr>
      <w:r>
        <w:rPr>
          <w:rFonts w:hint="default" w:ascii="Times New Roman" w:hAnsi="Times New Roman" w:eastAsia="宋体" w:cs="Times New Roman"/>
          <w:b w:val="0"/>
          <w:bCs w:val="0"/>
          <w:sz w:val="22"/>
          <w:szCs w:val="21"/>
        </w:rPr>
        <w:t>（4）医联体内人事和薪酬政策文件；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sz w:val="24"/>
        </w:rPr>
        <w:sectPr>
          <w:pgSz w:w="16838" w:h="11906" w:orient="landscape"/>
          <w:pgMar w:top="1797" w:right="1440" w:bottom="1797" w:left="1440" w:header="851" w:footer="1332" w:gutter="0"/>
          <w:pgNumType w:fmt="numberInDash"/>
          <w:cols w:space="720" w:num="1"/>
          <w:docGrid w:type="linesAndChars" w:linePitch="312" w:charSpace="0"/>
        </w:sectPr>
      </w:pPr>
      <w:r>
        <w:rPr>
          <w:rFonts w:hint="default" w:ascii="Times New Roman" w:hAnsi="Times New Roman" w:eastAsia="宋体" w:cs="Times New Roman"/>
          <w:b w:val="0"/>
          <w:bCs w:val="0"/>
          <w:sz w:val="22"/>
          <w:szCs w:val="21"/>
        </w:rPr>
        <w:t>（5）其他佐证材料。</w:t>
      </w:r>
      <w:r>
        <w:rPr>
          <w:rFonts w:hint="default" w:ascii="Times New Roman" w:hAnsi="Times New Roman" w:eastAsia="宋体" w:cs="Times New Roman"/>
          <w:b w:val="0"/>
          <w:bCs w:val="0"/>
          <w:sz w:val="24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sz w:val="24"/>
        </w:rPr>
        <w:tab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2D5AE1"/>
    <w:rsid w:val="2BA474DE"/>
    <w:rsid w:val="5A2D5A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1"/>
    <w:basedOn w:val="2"/>
    <w:uiPriority w:val="0"/>
    <w:rPr>
      <w:rFonts w:eastAsia="黑体" w:asciiTheme="minorAscii" w:hAnsiTheme="minorAscii"/>
      <w:bCs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2019-01-14T08:03:00Z</dcterms:created>
  <dc:creator>WPS_376170451</dc:creator>
  <cp:lastModifiedBy>WPS_376170451</cp:lastModifiedBy>
  <dcterms:modified xsi:type="dcterms:W3CDTF">2019-01-14T08:03:48Z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2052-11.1.0.8236</vt:lpwstr>
  </property>
</Properties>
</file>