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  <w:t>广东省卫生健康委流感医疗救治工作领导小组</w:t>
      </w:r>
    </w:p>
    <w:bookmarkEnd w:id="0"/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4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05"/>
        <w:gridCol w:w="6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组  长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刘冠贤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省卫生健康委巡视员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副组长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邓惠鸿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省卫生健康委医政处处长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冯惠强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省卫生健康委疾控处处长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吴景赠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省卫生健康委应急办主任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陈铁宏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省中医药局医政处处长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成  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张立峰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省卫生健康委医政处副处长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?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省卫生健康委疾控处副处长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?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省卫生健康委应急办副主任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郭洁吾</w:t>
            </w:r>
          </w:p>
        </w:tc>
        <w:tc>
          <w:tcPr>
            <w:tcW w:w="62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省中医药局医政处副处长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2106C"/>
    <w:rsid w:val="29D2106C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2019-01-07T01:17:00Z</dcterms:created>
  <dc:creator>yjm</dc:creator>
  <cp:lastModifiedBy>yjm</cp:lastModifiedBy>
  <dcterms:modified xsi:type="dcterms:W3CDTF">2019-01-07T01:18:34Z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